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BE5AEA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BE5AEA" w:rsidRPr="004F7AE4" w:rsidRDefault="00BE5AEA" w:rsidP="00BE5AEA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3D5D559A" w:rsidR="00BE5AEA" w:rsidRPr="004F7AE4" w:rsidRDefault="00BE5AEA" w:rsidP="00BE5AEA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0135D5">
              <w:rPr>
                <w:rFonts w:cs="Times New Roman"/>
                <w:b/>
                <w:sz w:val="24"/>
                <w:szCs w:val="24"/>
              </w:rPr>
              <w:t>Monitor na monitorovanie hemodynamických parametrov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BD3DD" w14:textId="77777777" w:rsidR="00D34648" w:rsidRDefault="00D34648">
      <w:r>
        <w:separator/>
      </w:r>
    </w:p>
  </w:endnote>
  <w:endnote w:type="continuationSeparator" w:id="0">
    <w:p w14:paraId="1E8B39E8" w14:textId="77777777"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9AFD2" w14:textId="77777777" w:rsidR="00D34648" w:rsidRDefault="00D34648">
      <w:r>
        <w:separator/>
      </w:r>
    </w:p>
  </w:footnote>
  <w:footnote w:type="continuationSeparator" w:id="0">
    <w:p w14:paraId="41477942" w14:textId="77777777"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2020-12-02T10:01:00Z</dcterms:modified>
</cp:coreProperties>
</file>