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6F3465E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Pr>
          <w:rFonts w:cs="Arial"/>
          <w:sz w:val="24"/>
          <w:szCs w:val="24"/>
          <w:highlight w:val="yellow"/>
        </w:rPr>
        <w:t>1/2/2021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472EE79"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560546D9"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9D0258">
        <w:rPr>
          <w:rFonts w:ascii="Arial" w:hAnsi="Arial" w:cs="Arial"/>
          <w:sz w:val="20"/>
          <w:highlight w:val="yellow"/>
          <w:lang w:val="sk-SK"/>
        </w:rPr>
        <w:t>31.5.2021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w:t>
      </w:r>
      <w:r w:rsidRPr="000E6197">
        <w:rPr>
          <w:rFonts w:ascii="Arial" w:hAnsi="Arial" w:cs="Arial"/>
          <w:sz w:val="20"/>
          <w:lang w:val="sk-SK"/>
        </w:rPr>
        <w:lastRenderedPageBreak/>
        <w:t xml:space="preserve">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7777777"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w:t>
      </w:r>
      <w:r w:rsidRPr="000E6197">
        <w:rPr>
          <w:rFonts w:ascii="Arial" w:hAnsi="Arial" w:cs="Arial"/>
          <w:sz w:val="20"/>
          <w:lang w:val="sk-SK"/>
        </w:rPr>
        <w:lastRenderedPageBreak/>
        <w:t xml:space="preserve">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10726F96" w14:textId="77777777"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0AAA04D4"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 xml:space="preserve">V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77777777" w:rsidR="0070009F" w:rsidRPr="003C4894" w:rsidRDefault="0070009F" w:rsidP="00C24E54">
            <w:pPr>
              <w:spacing w:after="0"/>
              <w:jc w:val="center"/>
              <w:rPr>
                <w:rFonts w:cs="Arial"/>
                <w:szCs w:val="20"/>
              </w:rPr>
            </w:pPr>
            <w:r w:rsidRPr="003C4894">
              <w:rPr>
                <w:rFonts w:cs="Arial"/>
                <w:szCs w:val="20"/>
              </w:rPr>
              <w:t>zastúpená titul, meno a 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77777777" w:rsidR="00236A76" w:rsidRPr="00236A76" w:rsidRDefault="00236A76" w:rsidP="00236A76">
      <w:r w:rsidRPr="00236A76">
        <w:rPr>
          <w:b/>
        </w:rPr>
        <w:t>Príloha č.1 k zmluve o dielo</w:t>
      </w:r>
    </w:p>
    <w:p w14:paraId="0F9D1502" w14:textId="77777777" w:rsidR="00236A76" w:rsidRPr="00236A76" w:rsidRDefault="00236A76" w:rsidP="00236A76"/>
    <w:p w14:paraId="183B954B" w14:textId="77777777" w:rsidR="00236A76" w:rsidRPr="00236A76" w:rsidRDefault="00236A76" w:rsidP="00236A76">
      <w:r w:rsidRPr="00236A76">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40DB0E20" w14:textId="77777777" w:rsidR="00236A76" w:rsidRPr="00236A76" w:rsidRDefault="00236A76" w:rsidP="00236A76">
      <w:pPr>
        <w:rPr>
          <w:b/>
        </w:rPr>
      </w:pPr>
    </w:p>
    <w:p w14:paraId="2EB9BE17" w14:textId="77777777" w:rsidR="00236A76" w:rsidRPr="00236A76" w:rsidRDefault="00236A76" w:rsidP="00236A76">
      <w:pPr>
        <w:rPr>
          <w:b/>
        </w:rPr>
      </w:pPr>
      <w:r w:rsidRPr="00236A76">
        <w:rPr>
          <w:b/>
        </w:rPr>
        <w:t>Oprávnenia a kvalifikačné predpoklady</w:t>
      </w:r>
    </w:p>
    <w:p w14:paraId="26BE3161" w14:textId="77777777" w:rsidR="00236A76" w:rsidRPr="00236A76" w:rsidRDefault="00236A76" w:rsidP="006059E6">
      <w:pPr>
        <w:numPr>
          <w:ilvl w:val="0"/>
          <w:numId w:val="36"/>
        </w:numPr>
      </w:pPr>
      <w:r w:rsidRPr="00236A76">
        <w:t>právnická alebo fyzická osoba (ďalej dodávateľ) je zapísaná v obchodnom alebo živnostenskom  registri</w:t>
      </w:r>
    </w:p>
    <w:p w14:paraId="6979127A" w14:textId="77777777" w:rsidR="00236A76" w:rsidRPr="00236A76" w:rsidRDefault="00236A76" w:rsidP="006059E6">
      <w:pPr>
        <w:numPr>
          <w:ilvl w:val="0"/>
          <w:numId w:val="36"/>
        </w:numPr>
      </w:pPr>
      <w:r w:rsidRPr="00236A76">
        <w:t xml:space="preserve">dodávateľ vykonáva práce sám alebo je zamestnávateľom alebo na zmluvu o 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77777777" w:rsidR="00236A76" w:rsidRPr="00236A76" w:rsidRDefault="00236A76" w:rsidP="006059E6">
      <w:pPr>
        <w:numPr>
          <w:ilvl w:val="0"/>
          <w:numId w:val="36"/>
        </w:numPr>
      </w:pPr>
      <w:r w:rsidRPr="00236A76">
        <w:t>dodávateľ sa stará o odborný rast svoj a zamestnávaných osôb</w:t>
      </w:r>
    </w:p>
    <w:p w14:paraId="0CD70BE7" w14:textId="77777777" w:rsidR="00236A76" w:rsidRPr="00236A76" w:rsidRDefault="00236A76" w:rsidP="006059E6">
      <w:pPr>
        <w:numPr>
          <w:ilvl w:val="0"/>
          <w:numId w:val="36"/>
        </w:numPr>
      </w:pPr>
      <w:r w:rsidRPr="00236A76">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30F04C46" w14:textId="77777777" w:rsidR="00236A76" w:rsidRPr="00236A76" w:rsidRDefault="00236A76" w:rsidP="006059E6">
      <w:pPr>
        <w:numPr>
          <w:ilvl w:val="0"/>
          <w:numId w:val="36"/>
        </w:numPr>
      </w:pPr>
      <w:r w:rsidRPr="00236A76">
        <w:t>dodávateľ počas trvania kontraktu neodkladne informuje príslušnú LS o zmene zamestnancov (pri činnostiach vyžadujúcich odbornú a zdravotnú spôsobilosť) alebo subdodávateľa</w:t>
      </w:r>
    </w:p>
    <w:p w14:paraId="0DAAEB7B" w14:textId="77777777" w:rsidR="00236A76" w:rsidRPr="00236A76" w:rsidRDefault="00236A76" w:rsidP="00236A76">
      <w:pPr>
        <w:rPr>
          <w:b/>
        </w:rPr>
      </w:pPr>
    </w:p>
    <w:p w14:paraId="71187D2F" w14:textId="77777777" w:rsidR="00236A76" w:rsidRPr="00236A76" w:rsidRDefault="00236A76" w:rsidP="00236A76">
      <w:pPr>
        <w:rPr>
          <w:b/>
        </w:rPr>
      </w:pPr>
      <w:r w:rsidRPr="00236A76">
        <w:rPr>
          <w:b/>
        </w:rPr>
        <w:t xml:space="preserve">Bezpečnosť a ochrana zdravia pri práci  </w:t>
      </w:r>
    </w:p>
    <w:p w14:paraId="53877A6B" w14:textId="77777777" w:rsidR="00236A76" w:rsidRPr="00236A76" w:rsidRDefault="00236A76" w:rsidP="00236A76">
      <w:r w:rsidRPr="00236A76">
        <w:t>(zák. 124/2006 Z. z. o bezpečnosti  ochrane zdravia pri práci v znení neskorších predpisov, vyhláška 46/2010 Z.z. a ďalšie predpisy platné pre pracoviská a priestory štátneho podniku LESY Slovenskej republiky).</w:t>
      </w:r>
    </w:p>
    <w:p w14:paraId="0F704EF0" w14:textId="77777777" w:rsidR="00236A76" w:rsidRPr="00236A76" w:rsidRDefault="00236A76" w:rsidP="006059E6">
      <w:pPr>
        <w:numPr>
          <w:ilvl w:val="0"/>
          <w:numId w:val="44"/>
        </w:numPr>
      </w:pPr>
      <w:r w:rsidRPr="00236A76">
        <w:t>dodávateľ zabezpečí pre svojich pracovníkov absolvovanie pravidelných preventívych lekárskych prehliadok a pri prácach s motorovou pílou zabezpečí posúdenie rizík z vibrácií a 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77777777" w:rsidR="00236A76" w:rsidRPr="00236A76" w:rsidRDefault="00236A76" w:rsidP="006059E6">
      <w:pPr>
        <w:numPr>
          <w:ilvl w:val="0"/>
          <w:numId w:val="44"/>
        </w:numPr>
      </w:pPr>
      <w:r w:rsidRPr="00236A76">
        <w:t>dodávateľ zodpovedá za plnenie povinností v BOZP a používaní OOPP za všetkých svojich pracovníkov a subdodávateľov</w:t>
      </w:r>
    </w:p>
    <w:p w14:paraId="48E41A1F" w14:textId="77777777" w:rsidR="00236A76" w:rsidRPr="00236A76" w:rsidRDefault="00236A76" w:rsidP="006059E6">
      <w:pPr>
        <w:numPr>
          <w:ilvl w:val="0"/>
          <w:numId w:val="44"/>
        </w:numPr>
      </w:pPr>
      <w:r w:rsidRPr="00236A76">
        <w:t>na pracovisku s počtom osôb 2 a viac organizáciu lesnej práce z hľadiska zaistenia bezpečnosti a ochrany zdravia pri práci zabezpečuje vedúci pracovnej skupiny určený dodávateľom</w:t>
      </w:r>
    </w:p>
    <w:p w14:paraId="71CB0494" w14:textId="77777777" w:rsidR="00236A76" w:rsidRPr="00236A76" w:rsidRDefault="00236A76" w:rsidP="006059E6">
      <w:pPr>
        <w:numPr>
          <w:ilvl w:val="0"/>
          <w:numId w:val="44"/>
        </w:numPr>
      </w:pPr>
      <w:r w:rsidRPr="00236A76">
        <w:t xml:space="preserve">informácie a pokyny o nebezpečenstvách  a ohrozeniach,  ktoré sa pri plnení predmetu zmluvy na pracovisku a v priestoroch spojených s jeho plnením vyskytujú sú obsiahnuté v Zákazkovom liste </w:t>
      </w:r>
    </w:p>
    <w:p w14:paraId="147BA27F" w14:textId="77777777" w:rsidR="00236A76" w:rsidRPr="00236A76" w:rsidRDefault="00236A76" w:rsidP="006059E6">
      <w:pPr>
        <w:numPr>
          <w:ilvl w:val="0"/>
          <w:numId w:val="44"/>
        </w:numPr>
      </w:pPr>
      <w:r w:rsidRPr="00236A76">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66159802" w14:textId="77777777" w:rsidR="00236A76" w:rsidRPr="00236A76" w:rsidRDefault="00236A76" w:rsidP="006059E6">
      <w:pPr>
        <w:numPr>
          <w:ilvl w:val="0"/>
          <w:numId w:val="44"/>
        </w:numPr>
      </w:pPr>
      <w:r w:rsidRPr="00236A76">
        <w:t>pri práci harvestorovou technológiou sa v okruhu 50 m od harvestora (procesora) nesmú voľne pohybovať iné osoby okrem operátora (ochranné pásmo práce so zvíhacím zariadením). Pre forvarder platí ochranné pásmo 20m</w:t>
      </w:r>
    </w:p>
    <w:p w14:paraId="65757591" w14:textId="77777777" w:rsidR="00236A76" w:rsidRPr="00236A76" w:rsidRDefault="00236A76" w:rsidP="006059E6">
      <w:pPr>
        <w:numPr>
          <w:ilvl w:val="0"/>
          <w:numId w:val="44"/>
        </w:numPr>
      </w:pPr>
      <w:r w:rsidRPr="00236A76">
        <w:t xml:space="preserve">pri používaní lanovkových technológií je zakázané pohybovať sa v osi vymršteného lana  </w:t>
      </w:r>
    </w:p>
    <w:p w14:paraId="662C2AA4" w14:textId="77777777" w:rsidR="00236A76" w:rsidRPr="00236A76" w:rsidRDefault="00236A76" w:rsidP="006059E6">
      <w:pPr>
        <w:numPr>
          <w:ilvl w:val="0"/>
          <w:numId w:val="44"/>
        </w:numPr>
      </w:pPr>
      <w:r w:rsidRPr="00236A76">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77777777" w:rsidR="00236A76" w:rsidRPr="00236A76" w:rsidRDefault="00236A76" w:rsidP="006059E6">
      <w:pPr>
        <w:numPr>
          <w:ilvl w:val="0"/>
          <w:numId w:val="44"/>
        </w:numPr>
      </w:pPr>
      <w:r w:rsidRPr="00236A76">
        <w:lastRenderedPageBreak/>
        <w:t>dodávateľ je povinný v prípade záchranných prác a prípadnej evakuácie spolupracovať so zamestnancami LESOV Slovenskej republiky, štátny podnik</w:t>
      </w:r>
    </w:p>
    <w:p w14:paraId="35608AAF" w14:textId="77777777" w:rsidR="00236A76" w:rsidRPr="00236A76" w:rsidRDefault="00236A76" w:rsidP="006059E6">
      <w:pPr>
        <w:numPr>
          <w:ilvl w:val="0"/>
          <w:numId w:val="44"/>
        </w:numPr>
      </w:pPr>
      <w:r w:rsidRPr="00236A76">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53B5205C" w14:textId="77777777" w:rsidR="00236A76" w:rsidRPr="00236A76" w:rsidRDefault="00236A76" w:rsidP="00236A76">
      <w:r w:rsidRPr="00236A76">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7777777" w:rsidR="00236A76" w:rsidRPr="00236A76" w:rsidRDefault="00236A76" w:rsidP="00236A76">
            <w:r w:rsidRPr="00236A76">
              <w:t>Nepovolaným vstup zakázaný (spolu so značkou č.2, 3 alebo 4 a 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77777777" w:rsidR="00236A76" w:rsidRPr="00236A76" w:rsidRDefault="00236A76" w:rsidP="006059E6">
      <w:pPr>
        <w:numPr>
          <w:ilvl w:val="0"/>
          <w:numId w:val="44"/>
        </w:numPr>
      </w:pPr>
      <w:r w:rsidRPr="00236A76">
        <w:t>dodávateľ je povinný mať stanovené dorozumievacie signály (nariadenie vlády č. 387/2006 Z. z. o používaní značiek a 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77777777" w:rsidR="00236A76" w:rsidRPr="00236A76" w:rsidRDefault="00236A76" w:rsidP="006059E6">
      <w:pPr>
        <w:numPr>
          <w:ilvl w:val="0"/>
          <w:numId w:val="44"/>
        </w:numPr>
      </w:pPr>
      <w:r w:rsidRPr="00236A76">
        <w:t>Dodávateľ je povinný zároveň dodržiavať všetky ostatné ustanovenie vyšie uvedených právnych noriem</w:t>
      </w:r>
    </w:p>
    <w:p w14:paraId="032B49F2" w14:textId="77777777" w:rsidR="00236A76" w:rsidRPr="00236A76" w:rsidRDefault="00236A76" w:rsidP="00236A76"/>
    <w:p w14:paraId="2EC08635" w14:textId="77777777" w:rsidR="00236A76" w:rsidRPr="00236A76" w:rsidRDefault="00236A76" w:rsidP="006059E6">
      <w:pPr>
        <w:numPr>
          <w:ilvl w:val="0"/>
          <w:numId w:val="44"/>
        </w:numPr>
      </w:pPr>
      <w:r w:rsidRPr="00236A76">
        <w:t>pred začatím prác je dodávateľ povinný uzatvoriť dohody o spolupráci zamestnávateľov na spoločnom pracovisku v zmysle §18 zákona 124/2006 Z.z.</w:t>
      </w: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lastRenderedPageBreak/>
        <w:t>Požiarna ochrana</w:t>
      </w:r>
    </w:p>
    <w:p w14:paraId="0B094C6B" w14:textId="77777777" w:rsidR="00236A76" w:rsidRPr="00236A76" w:rsidRDefault="00236A76" w:rsidP="006059E6">
      <w:pPr>
        <w:numPr>
          <w:ilvl w:val="0"/>
          <w:numId w:val="35"/>
        </w:numPr>
        <w:tabs>
          <w:tab w:val="num" w:pos="540"/>
        </w:tabs>
      </w:pPr>
      <w:r w:rsidRPr="00236A76">
        <w:t>školenie dodávateľa prác a jeho zamestnancov o požiarnej ochrane (§ 4, písm. e/ zák.                           314/01 Z. z. a § 20 ods 3 vyhlášky 121/2002 Z. z) zabezpečuje objednávateľ technikom požiarnej ochrany o čom vyhotoví záznam</w:t>
      </w:r>
    </w:p>
    <w:p w14:paraId="7EC54A1B" w14:textId="77777777" w:rsidR="00236A76" w:rsidRPr="00236A76" w:rsidRDefault="00236A76" w:rsidP="006059E6">
      <w:pPr>
        <w:numPr>
          <w:ilvl w:val="0"/>
          <w:numId w:val="35"/>
        </w:numPr>
        <w:tabs>
          <w:tab w:val="num" w:pos="540"/>
        </w:tabs>
      </w:pPr>
      <w:r w:rsidRPr="00236A76">
        <w:t>školenie subdodávateľov prác a jeho zamestnancov o požiarnej ochrane (§ 4, písm. e/ zák.                           314/01 Z. z. a § 20 ods 3 vyhlášky 121/2002 Z. z) zabezpečuje dodávateľ technikom požiarnej ochrany o čom vyhotoví záznam a tento odovzdá na LS, ES alebo stredisku</w:t>
      </w:r>
    </w:p>
    <w:p w14:paraId="71B8F893" w14:textId="77777777" w:rsidR="00236A76" w:rsidRPr="00236A76" w:rsidRDefault="00236A76" w:rsidP="006059E6">
      <w:pPr>
        <w:numPr>
          <w:ilvl w:val="0"/>
          <w:numId w:val="35"/>
        </w:numPr>
        <w:tabs>
          <w:tab w:val="num" w:pos="540"/>
        </w:tabs>
      </w:pPr>
      <w:r w:rsidRPr="00236A76">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60250886" w14:textId="77777777" w:rsidR="00236A76" w:rsidRPr="00236A76" w:rsidRDefault="00236A76" w:rsidP="006059E6">
      <w:pPr>
        <w:numPr>
          <w:ilvl w:val="0"/>
          <w:numId w:val="35"/>
        </w:numPr>
        <w:tabs>
          <w:tab w:val="num" w:pos="540"/>
        </w:tabs>
      </w:pPr>
      <w:r w:rsidRPr="00236A76">
        <w:t>narábať s otvoreným ohňom je možné len na miestach na to určených a označených, toto neplatí pri spaľovaní zvyškov po ťažbe, kde platí osobitný postup</w:t>
      </w:r>
    </w:p>
    <w:p w14:paraId="07C4F6E4" w14:textId="77777777"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 súlade s § 3 a 7 výhlášky 121/2002 Z. z. v znení neskorších predpisov</w:t>
      </w:r>
    </w:p>
    <w:p w14:paraId="2A40461F" w14:textId="77777777"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 prípade</w:t>
      </w:r>
      <w:r w:rsidRPr="00236A76">
        <w:rPr>
          <w:b/>
        </w:rPr>
        <w:t xml:space="preserve"> </w:t>
      </w:r>
      <w:r w:rsidRPr="00236A76">
        <w:t>jeho nezdolania je povinný túto udalosť nahlásiť na</w:t>
      </w:r>
      <w:r w:rsidRPr="00236A76">
        <w:rPr>
          <w:b/>
        </w:rPr>
        <w:t xml:space="preserve">  </w:t>
      </w:r>
      <w:r w:rsidRPr="00236A76">
        <w:t xml:space="preserve">telefónne číslo  150 alebo 112 a 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1" w:name="_Toc125776504"/>
      <w:r w:rsidRPr="00236A76">
        <w:rPr>
          <w:b/>
        </w:rPr>
        <w:t>Výkon činností</w:t>
      </w:r>
    </w:p>
    <w:p w14:paraId="64E263AF" w14:textId="77777777"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 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77777777"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 zmysle stanovených technológií</w:t>
      </w:r>
    </w:p>
    <w:p w14:paraId="13FA1913" w14:textId="77777777" w:rsidR="00236A76" w:rsidRPr="00236A76" w:rsidRDefault="00236A76" w:rsidP="006059E6">
      <w:pPr>
        <w:numPr>
          <w:ilvl w:val="0"/>
          <w:numId w:val="28"/>
        </w:numPr>
        <w:tabs>
          <w:tab w:val="num" w:pos="540"/>
        </w:tabs>
      </w:pPr>
      <w:r w:rsidRPr="00236A76">
        <w:t>dodávateľ udržiava techniku v dobrom prevádzkyschopnom stave, bez viditeľného úniku pohonných hmôt a mazadiel</w:t>
      </w:r>
    </w:p>
    <w:p w14:paraId="7CA098E8" w14:textId="77777777" w:rsidR="00236A76" w:rsidRPr="00236A76" w:rsidRDefault="00236A76" w:rsidP="006059E6">
      <w:pPr>
        <w:numPr>
          <w:ilvl w:val="0"/>
          <w:numId w:val="28"/>
        </w:numPr>
        <w:tabs>
          <w:tab w:val="num" w:pos="540"/>
        </w:tabs>
      </w:pPr>
      <w:r w:rsidRPr="00236A76">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8170686" w14:textId="77777777" w:rsidR="00236A76" w:rsidRPr="00236A76" w:rsidRDefault="00236A76" w:rsidP="006059E6">
      <w:pPr>
        <w:numPr>
          <w:ilvl w:val="0"/>
          <w:numId w:val="28"/>
        </w:numPr>
        <w:tabs>
          <w:tab w:val="num" w:pos="540"/>
        </w:tabs>
      </w:pPr>
      <w:r w:rsidRPr="00236A76">
        <w:t>v JMP sa používajú  ekologicky odbúrateľné mazadlá (Ekopil, rastlinný olej, Arborol a pod.)</w:t>
      </w:r>
    </w:p>
    <w:p w14:paraId="66622176" w14:textId="77777777" w:rsidR="00236A76" w:rsidRPr="00236A76" w:rsidRDefault="00236A76" w:rsidP="006059E6">
      <w:pPr>
        <w:numPr>
          <w:ilvl w:val="0"/>
          <w:numId w:val="28"/>
        </w:numPr>
        <w:tabs>
          <w:tab w:val="num" w:pos="540"/>
        </w:tabs>
      </w:pPr>
      <w:r w:rsidRPr="00236A76">
        <w:t xml:space="preserve">ak výrobca mechanizačného prostriedku pripúšťa použitie ekologických palív a 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77777777" w:rsidR="00236A76" w:rsidRPr="00236A76" w:rsidRDefault="00236A76" w:rsidP="006059E6">
      <w:pPr>
        <w:numPr>
          <w:ilvl w:val="1"/>
          <w:numId w:val="28"/>
        </w:numPr>
        <w:tabs>
          <w:tab w:val="clear" w:pos="1440"/>
          <w:tab w:val="num" w:pos="540"/>
        </w:tabs>
      </w:pPr>
      <w:r w:rsidRPr="00236A76">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7933F36" w14:textId="77777777" w:rsidR="00236A76" w:rsidRPr="00236A76" w:rsidRDefault="00236A76" w:rsidP="00236A76">
      <w:pPr>
        <w:rPr>
          <w:i/>
        </w:rPr>
      </w:pPr>
      <w:r w:rsidRPr="00236A76">
        <w:rPr>
          <w:i/>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6ECC4A5" w14:textId="77777777" w:rsidR="00236A76" w:rsidRPr="00236A76" w:rsidRDefault="00236A76" w:rsidP="006059E6">
      <w:pPr>
        <w:numPr>
          <w:ilvl w:val="1"/>
          <w:numId w:val="28"/>
        </w:numPr>
        <w:tabs>
          <w:tab w:val="clear" w:pos="1440"/>
          <w:tab w:val="num" w:pos="540"/>
        </w:tabs>
      </w:pPr>
      <w:r w:rsidRPr="00236A76">
        <w:lastRenderedPageBreak/>
        <w:t>uvoľniť vzniknuté závesy, vyťažiť ďalšie stromy ohrozujúce zdravie a život aj bez ich vyznačenia najneskôr do konca pracovnej zmeny</w:t>
      </w:r>
    </w:p>
    <w:p w14:paraId="7440D976" w14:textId="77777777"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 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77777777"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 ohlásiť ho objednávateľovi</w:t>
      </w:r>
    </w:p>
    <w:p w14:paraId="3A009C32" w14:textId="77777777" w:rsidR="00236A76" w:rsidRPr="00236A76" w:rsidRDefault="00236A76" w:rsidP="006059E6">
      <w:pPr>
        <w:numPr>
          <w:ilvl w:val="1"/>
          <w:numId w:val="28"/>
        </w:numPr>
        <w:tabs>
          <w:tab w:val="clear" w:pos="1440"/>
          <w:tab w:val="num" w:pos="540"/>
        </w:tabs>
      </w:pPr>
      <w:r w:rsidRPr="00236A76">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77777777" w:rsidR="00236A76" w:rsidRPr="00236A76" w:rsidRDefault="00236A76" w:rsidP="006059E6">
      <w:pPr>
        <w:numPr>
          <w:ilvl w:val="0"/>
          <w:numId w:val="43"/>
        </w:numPr>
      </w:pPr>
      <w:r w:rsidRPr="00236A76">
        <w:t>hrúbka ± 2,5 mm pre aritmetický priemer z 10 jednotlivých meraní, ±1 cm pre jednotlivú hodnotu,95% spracovaných kusov musí mať požadovaný priemer na čape</w:t>
      </w:r>
    </w:p>
    <w:p w14:paraId="49768D18" w14:textId="77777777" w:rsidR="00236A76" w:rsidRPr="00236A76" w:rsidRDefault="00236A76" w:rsidP="006059E6">
      <w:pPr>
        <w:numPr>
          <w:ilvl w:val="0"/>
          <w:numId w:val="43"/>
        </w:numPr>
      </w:pPr>
      <w:r w:rsidRPr="00236A76">
        <w:t>objem  ± 4 % pre jedno ťažbové miesto a pre jeden sortiment dreva</w:t>
      </w:r>
    </w:p>
    <w:p w14:paraId="640FB17A" w14:textId="77777777" w:rsidR="00236A76" w:rsidRPr="00236A76" w:rsidRDefault="00236A76" w:rsidP="006059E6">
      <w:pPr>
        <w:numPr>
          <w:ilvl w:val="0"/>
          <w:numId w:val="43"/>
        </w:numPr>
        <w:rPr>
          <w:bCs/>
        </w:rPr>
      </w:pPr>
      <w:r w:rsidRPr="00236A76">
        <w:rPr>
          <w:bCs/>
        </w:rPr>
        <w:t>kalibrácia meracieho a riadiaceho systému, v rámci kontroly sa namerané hodnoty od harvestera porovnávajú s hodnotami ručného merania spracovaného dreva, vždy pri nástupe do nového porastu</w:t>
      </w:r>
    </w:p>
    <w:p w14:paraId="49187467" w14:textId="77777777" w:rsidR="00236A76" w:rsidRPr="00236A76" w:rsidRDefault="00236A76" w:rsidP="00236A76"/>
    <w:p w14:paraId="4A368083" w14:textId="77777777" w:rsidR="00236A76" w:rsidRPr="00236A76" w:rsidRDefault="00236A76" w:rsidP="00236A76">
      <w:pPr>
        <w:tabs>
          <w:tab w:val="num" w:pos="756"/>
        </w:tabs>
        <w:rPr>
          <w:b/>
        </w:rPr>
      </w:pPr>
      <w:r w:rsidRPr="00236A76">
        <w:rPr>
          <w:b/>
        </w:rPr>
        <w:t>Pestovanie a 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77777777" w:rsidR="00236A76" w:rsidRPr="00236A76" w:rsidRDefault="00236A76" w:rsidP="006059E6">
      <w:pPr>
        <w:numPr>
          <w:ilvl w:val="0"/>
          <w:numId w:val="33"/>
        </w:numPr>
        <w:tabs>
          <w:tab w:val="num" w:pos="540"/>
        </w:tabs>
      </w:pPr>
      <w:r w:rsidRPr="00236A76">
        <w:t>pri manipulácii so sadbovým materiálom nesmie dôjsť k obnaženiu koreňového systému aby nedošlo k 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77777777" w:rsidR="00236A76" w:rsidRPr="00236A76" w:rsidRDefault="00236A76" w:rsidP="006059E6">
      <w:pPr>
        <w:numPr>
          <w:ilvl w:val="0"/>
          <w:numId w:val="33"/>
        </w:numPr>
        <w:tabs>
          <w:tab w:val="num" w:pos="540"/>
        </w:tabs>
      </w:pPr>
      <w:r w:rsidRPr="00236A76">
        <w:t>obaľovaný sadbový materiál sa môže premiestňovať len v prepravkách resp. pevných nádobách</w:t>
      </w:r>
    </w:p>
    <w:p w14:paraId="3D80BE10" w14:textId="77777777"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 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77777777" w:rsidR="00236A76" w:rsidRPr="00236A76" w:rsidRDefault="00236A76" w:rsidP="006059E6">
      <w:pPr>
        <w:numPr>
          <w:ilvl w:val="0"/>
          <w:numId w:val="32"/>
        </w:numPr>
        <w:tabs>
          <w:tab w:val="num" w:pos="540"/>
        </w:tabs>
      </w:pPr>
      <w:r w:rsidRPr="00236A76">
        <w:t>vyžínaním sa odstraňujú trávy, byliny a 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77777777" w:rsidR="00236A76" w:rsidRPr="00236A76" w:rsidRDefault="00236A76" w:rsidP="006059E6">
      <w:pPr>
        <w:numPr>
          <w:ilvl w:val="0"/>
          <w:numId w:val="31"/>
        </w:numPr>
        <w:tabs>
          <w:tab w:val="num" w:pos="540"/>
        </w:tabs>
      </w:pPr>
      <w:r w:rsidRPr="00236A76">
        <w:t>pri oplocovaní z použitého materiálu je súčasťou dodávky aj oprava poškodených častí použitého materiálu</w:t>
      </w:r>
    </w:p>
    <w:p w14:paraId="30281A49" w14:textId="77777777" w:rsidR="00236A76" w:rsidRPr="00236A76" w:rsidRDefault="00236A76" w:rsidP="006059E6">
      <w:pPr>
        <w:numPr>
          <w:ilvl w:val="0"/>
          <w:numId w:val="31"/>
        </w:numPr>
        <w:tabs>
          <w:tab w:val="num" w:pos="540"/>
        </w:tabs>
      </w:pPr>
      <w:r w:rsidRPr="00236A76">
        <w:t xml:space="preserve">pred uzavretím oplôtku musí byť z neho vyhnaná všetka vniknutá zver ktorá môže spôsobiť škody na ochraňovanej kultúre </w:t>
      </w:r>
    </w:p>
    <w:p w14:paraId="0D8532D9" w14:textId="77777777" w:rsidR="00236A76" w:rsidRPr="00236A76" w:rsidRDefault="00236A76" w:rsidP="00236A76">
      <w:pPr>
        <w:tabs>
          <w:tab w:val="num" w:pos="720"/>
        </w:tabs>
        <w:rPr>
          <w:b/>
          <w:bCs/>
        </w:rPr>
      </w:pPr>
      <w:r w:rsidRPr="00236A76">
        <w:rPr>
          <w:b/>
          <w:bCs/>
        </w:rPr>
        <w:t>prerezávky a 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77777777" w:rsidR="00236A76" w:rsidRPr="00236A76" w:rsidRDefault="00236A76" w:rsidP="006059E6">
      <w:pPr>
        <w:numPr>
          <w:ilvl w:val="0"/>
          <w:numId w:val="30"/>
        </w:numPr>
        <w:tabs>
          <w:tab w:val="num" w:pos="540"/>
        </w:tabs>
      </w:pPr>
      <w:r w:rsidRPr="00236A76">
        <w:t>umiestnenie a parametre linky vyznačí /určí/ v terénne objednávateľ</w:t>
      </w:r>
    </w:p>
    <w:p w14:paraId="1DE77FA6" w14:textId="77777777" w:rsidR="00236A76" w:rsidRPr="00236A76" w:rsidRDefault="00236A76" w:rsidP="006059E6">
      <w:pPr>
        <w:numPr>
          <w:ilvl w:val="0"/>
          <w:numId w:val="30"/>
        </w:numPr>
        <w:tabs>
          <w:tab w:val="num" w:pos="540"/>
        </w:tabs>
      </w:pPr>
      <w:r w:rsidRPr="00236A76">
        <w:lastRenderedPageBreak/>
        <w:t>hmota z liniek musí byť vtiahnutá do porastu alebo uložená na okraj linky (upresnené v 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77777777" w:rsidR="00236A76" w:rsidRPr="00236A76" w:rsidRDefault="00236A76" w:rsidP="006059E6">
      <w:pPr>
        <w:numPr>
          <w:ilvl w:val="0"/>
          <w:numId w:val="29"/>
        </w:numPr>
        <w:tabs>
          <w:tab w:val="num" w:pos="540"/>
        </w:tabs>
      </w:pPr>
      <w:r w:rsidRPr="00236A76">
        <w:t>ťažbové zbytky musia byť uhádzané do hromád s priemerom maximálne 2 m alebo do pásov s maximálnou šírkou 1,5 m (ak nie je stanovené Zákazkovým listom inak)</w:t>
      </w:r>
    </w:p>
    <w:p w14:paraId="49A7C381" w14:textId="77777777" w:rsidR="00236A76" w:rsidRPr="00236A76" w:rsidRDefault="00236A76" w:rsidP="006059E6">
      <w:pPr>
        <w:numPr>
          <w:ilvl w:val="0"/>
          <w:numId w:val="29"/>
        </w:numPr>
        <w:tabs>
          <w:tab w:val="num" w:pos="540"/>
        </w:tabs>
      </w:pPr>
      <w:r w:rsidRPr="00236A76">
        <w:t>pásy uhádzaných ťažbových zbytkov musia byť maximálne po 40 metroch prerušené medzerou o dĺžke minimálne 5 m</w:t>
      </w:r>
    </w:p>
    <w:p w14:paraId="44040BEC" w14:textId="77777777" w:rsidR="00236A76" w:rsidRPr="00236A76" w:rsidRDefault="00236A76" w:rsidP="006059E6">
      <w:pPr>
        <w:numPr>
          <w:ilvl w:val="0"/>
          <w:numId w:val="29"/>
        </w:numPr>
        <w:tabs>
          <w:tab w:val="num" w:pos="540"/>
        </w:tabs>
      </w:pPr>
      <w:r w:rsidRPr="00236A76">
        <w:t>objednávateľom určená hmota ponechaná k prirodzenému rozkladu (celé kmene) sa neuhadzuje</w:t>
      </w:r>
    </w:p>
    <w:bookmarkEnd w:id="1"/>
    <w:p w14:paraId="6A4A3153" w14:textId="77777777" w:rsidR="00236A76" w:rsidRPr="00236A76" w:rsidRDefault="00236A76" w:rsidP="00236A76">
      <w:pPr>
        <w:rPr>
          <w:b/>
        </w:rPr>
      </w:pPr>
    </w:p>
    <w:p w14:paraId="3B534021" w14:textId="77777777" w:rsidR="00236A76" w:rsidRPr="00236A76" w:rsidRDefault="00236A76" w:rsidP="00236A76">
      <w:pPr>
        <w:rPr>
          <w:b/>
        </w:rPr>
      </w:pPr>
      <w:r w:rsidRPr="00236A76">
        <w:rPr>
          <w:b/>
        </w:rPr>
        <w:t>Manipulácia s drevom a uskladňovanie dreva</w:t>
      </w:r>
    </w:p>
    <w:p w14:paraId="03CFF8F3" w14:textId="77777777" w:rsidR="00236A76" w:rsidRPr="00236A76" w:rsidRDefault="00236A76" w:rsidP="00236A76"/>
    <w:p w14:paraId="5C8E3647" w14:textId="77777777" w:rsidR="00236A76" w:rsidRPr="00236A76" w:rsidRDefault="00236A76" w:rsidP="006059E6">
      <w:pPr>
        <w:numPr>
          <w:ilvl w:val="0"/>
          <w:numId w:val="42"/>
        </w:numPr>
      </w:pPr>
      <w:r w:rsidRPr="00236A76">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56C51DE1" w14:textId="77777777" w:rsidR="00236A76" w:rsidRPr="00236A76" w:rsidRDefault="00236A76" w:rsidP="00236A76">
      <w:r w:rsidRPr="00236A76">
        <w:t xml:space="preserve"> § 7 Manipulácia s drevom a uskladňovanie dreva</w:t>
      </w:r>
    </w:p>
    <w:p w14:paraId="631823A4" w14:textId="77777777" w:rsidR="00236A76" w:rsidRPr="00236A76" w:rsidRDefault="00236A76" w:rsidP="00236A76"/>
    <w:p w14:paraId="301C41CA" w14:textId="77777777" w:rsidR="00236A76" w:rsidRPr="00236A76" w:rsidRDefault="00236A76" w:rsidP="00236A76">
      <w:r w:rsidRPr="00236A76">
        <w:t>(1) Podrobnosti na zaistenie bezpečnosti a ochrany zdravia pri manipulácii s drevom a pri uskladňovaní dreva sú uvedené v prílohe č. 4. vyhlášky</w:t>
      </w:r>
    </w:p>
    <w:p w14:paraId="4714BBD9" w14:textId="77777777" w:rsidR="00236A76" w:rsidRPr="00236A76" w:rsidRDefault="00236A76" w:rsidP="00236A76">
      <w:r w:rsidRPr="00236A76">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1774908" w14:textId="77777777" w:rsidR="00236A76" w:rsidRPr="00236A76" w:rsidRDefault="00236A76" w:rsidP="00236A76"/>
    <w:p w14:paraId="5839592C" w14:textId="77777777" w:rsidR="00236A76" w:rsidRPr="00236A76" w:rsidRDefault="00236A76" w:rsidP="006059E6">
      <w:pPr>
        <w:numPr>
          <w:ilvl w:val="0"/>
          <w:numId w:val="42"/>
        </w:numPr>
      </w:pPr>
      <w:r w:rsidRPr="00236A76">
        <w:t>Prevádzkovo-bezpečnostný poriadok na danom expedičnom sklade poskytne objdenávateľ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77777777" w:rsidR="00236A76" w:rsidRPr="00236A76" w:rsidRDefault="00236A76" w:rsidP="006059E6">
      <w:pPr>
        <w:numPr>
          <w:ilvl w:val="0"/>
          <w:numId w:val="41"/>
        </w:numPr>
        <w:tabs>
          <w:tab w:val="num" w:pos="567"/>
        </w:tabs>
      </w:pPr>
      <w:r w:rsidRPr="00236A76">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653E8F74" w14:textId="77777777" w:rsidR="00236A76" w:rsidRPr="00236A76" w:rsidRDefault="00236A76" w:rsidP="00236A76"/>
    <w:p w14:paraId="2C124250" w14:textId="77777777" w:rsidR="00236A76" w:rsidRPr="00236A76" w:rsidRDefault="00236A76" w:rsidP="006059E6">
      <w:pPr>
        <w:numPr>
          <w:ilvl w:val="0"/>
          <w:numId w:val="41"/>
        </w:numPr>
        <w:tabs>
          <w:tab w:val="num" w:pos="540"/>
        </w:tabs>
      </w:pPr>
      <w:r w:rsidRPr="00236A76">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77777777" w:rsidR="00236A76" w:rsidRPr="00236A76" w:rsidRDefault="00236A76" w:rsidP="00236A76">
            <w:r w:rsidRPr="00236A76">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777777" w:rsidR="00236A76" w:rsidRPr="00236A76" w:rsidRDefault="00236A76" w:rsidP="00236A76">
            <w:r w:rsidRPr="00236A76">
              <w:t>Drevná hmota v 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77777777" w:rsidR="00236A76" w:rsidRPr="00236A76" w:rsidRDefault="00236A76" w:rsidP="00236A76">
      <w:r w:rsidRPr="00236A76">
        <w:lastRenderedPageBreak/>
        <w:t xml:space="preserve">c) 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77777777" w:rsidR="00236A76" w:rsidRPr="00236A76" w:rsidRDefault="00236A76" w:rsidP="00236A76">
            <w:pPr>
              <w:rPr>
                <w:b/>
                <w:bCs/>
              </w:rPr>
            </w:pPr>
            <w:r w:rsidRPr="00236A76">
              <w:rPr>
                <w:b/>
                <w:bCs/>
              </w:rPr>
              <w:t>Drevo v 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77777777" w:rsidR="00236A76" w:rsidRPr="00236A76" w:rsidRDefault="00236A76" w:rsidP="00236A76">
            <w:pPr>
              <w:rPr>
                <w:b/>
                <w:bCs/>
              </w:rPr>
            </w:pPr>
            <w:r w:rsidRPr="00236A76">
              <w:rPr>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77777777" w:rsidR="00236A76" w:rsidRPr="00236A76" w:rsidRDefault="00236A76" w:rsidP="00236A76">
            <w:r w:rsidRPr="00236A76">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77777777" w:rsidR="00236A76" w:rsidRPr="00236A76" w:rsidRDefault="00236A76" w:rsidP="00236A76">
            <w:r w:rsidRPr="00236A76">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77777777" w:rsidR="00236A76" w:rsidRPr="00236A76" w:rsidRDefault="00236A76" w:rsidP="00236A76">
            <w:pPr>
              <w:rPr>
                <w:b/>
                <w:bCs/>
              </w:rPr>
            </w:pPr>
            <w:r w:rsidRPr="00236A76">
              <w:rPr>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77777777" w:rsidR="00236A76" w:rsidRPr="00236A76" w:rsidRDefault="00236A76" w:rsidP="00236A76">
            <w:r w:rsidRPr="00236A76">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77777777" w:rsidR="00236A76" w:rsidRPr="00236A76" w:rsidRDefault="00236A76" w:rsidP="00236A76">
            <w:r w:rsidRPr="00236A76">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77777777" w:rsidR="00236A76" w:rsidRPr="00236A76" w:rsidRDefault="00236A76" w:rsidP="00236A76">
      <w:r w:rsidRPr="00236A76">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77777777" w:rsidR="00236A76" w:rsidRPr="00236A76" w:rsidRDefault="00236A76" w:rsidP="00236A76">
            <w:r w:rsidRPr="00236A76">
              <w:t xml:space="preserve">lesná cesta s 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77777777" w:rsidR="00236A76" w:rsidRPr="00236A76" w:rsidRDefault="00236A76" w:rsidP="00236A76">
      <w:pPr>
        <w:tabs>
          <w:tab w:val="num" w:pos="756"/>
        </w:tabs>
        <w:rPr>
          <w:b/>
        </w:rPr>
      </w:pPr>
      <w:r w:rsidRPr="00236A76">
        <w:rPr>
          <w:b/>
        </w:rPr>
        <w:t xml:space="preserve">Udržanie priaznivého stavu lesa a infraštruktúry </w:t>
      </w:r>
    </w:p>
    <w:p w14:paraId="7E775154" w14:textId="77777777" w:rsidR="00236A76" w:rsidRPr="00236A76" w:rsidRDefault="00236A76" w:rsidP="006059E6">
      <w:pPr>
        <w:numPr>
          <w:ilvl w:val="0"/>
          <w:numId w:val="39"/>
        </w:numPr>
        <w:tabs>
          <w:tab w:val="num" w:pos="540"/>
        </w:tabs>
      </w:pPr>
      <w:r w:rsidRPr="00236A76">
        <w:t xml:space="preserve">minimalizovať poškodenie stojacich stromov, prirodzeného zmladenia, nárastov a kultúr  v porastoch používaním primeraných technologických postupov  a technických pomôcok pre úpravu pohybu dreva (smerové kladky a 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77777777" w:rsidR="00236A76" w:rsidRPr="00236A76" w:rsidRDefault="00236A76" w:rsidP="00236A76">
      <w:r w:rsidRPr="00236A76">
        <w:t>zostávajúce  stromy v poraste (medzi dopravnými dráhami) – do 10 % z počtu</w:t>
      </w:r>
    </w:p>
    <w:p w14:paraId="3935DBC1" w14:textId="77777777" w:rsidR="00236A76" w:rsidRPr="00236A76" w:rsidRDefault="00236A76" w:rsidP="00236A76">
      <w:r w:rsidRPr="00236A76">
        <w:t>hraničné stromy dopravných dráh – do 20 % z 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77777777" w:rsidR="00236A76" w:rsidRPr="00236A76" w:rsidRDefault="00236A76" w:rsidP="00236A76">
      <w:r w:rsidRPr="00236A76">
        <w:t>na ostatnej ploche - určené v „Zákazkovom liste“</w:t>
      </w:r>
    </w:p>
    <w:p w14:paraId="386CDB7E" w14:textId="77777777" w:rsidR="00236A76" w:rsidRPr="00236A76" w:rsidRDefault="00236A76" w:rsidP="006059E6">
      <w:pPr>
        <w:numPr>
          <w:ilvl w:val="0"/>
          <w:numId w:val="39"/>
        </w:numPr>
        <w:tabs>
          <w:tab w:val="num" w:pos="540"/>
        </w:tabs>
      </w:pPr>
      <w:r w:rsidRPr="00236A76">
        <w:t>prerušiť prácu počas dažďa a po daždi na dobu v závislosti od únosnosti podložia a vybavenia približovacieho prostriedku vhodnými (floatačnými) pneumatikami</w:t>
      </w:r>
    </w:p>
    <w:p w14:paraId="432D3841" w14:textId="77777777" w:rsidR="00236A76" w:rsidRPr="00236A76" w:rsidRDefault="00236A76" w:rsidP="006059E6">
      <w:pPr>
        <w:numPr>
          <w:ilvl w:val="0"/>
          <w:numId w:val="39"/>
        </w:numPr>
        <w:tabs>
          <w:tab w:val="num" w:pos="540"/>
        </w:tabs>
      </w:pPr>
      <w:r w:rsidRPr="00236A76">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8D3FA65" w14:textId="77777777" w:rsidR="00236A76" w:rsidRPr="00236A76" w:rsidRDefault="00236A76" w:rsidP="006059E6">
      <w:pPr>
        <w:numPr>
          <w:ilvl w:val="0"/>
          <w:numId w:val="39"/>
        </w:numPr>
        <w:tabs>
          <w:tab w:val="num" w:pos="540"/>
        </w:tabs>
      </w:pPr>
      <w:r w:rsidRPr="00236A76">
        <w:t>pri vzniku koľají hlbokých 30 cm zahrnúť ich miestnym materiálom (vytlačená zemina, konáre a pod.). V 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77777777" w:rsidR="00236A76" w:rsidRPr="00236A76" w:rsidRDefault="00236A76" w:rsidP="006059E6">
      <w:pPr>
        <w:numPr>
          <w:ilvl w:val="0"/>
          <w:numId w:val="39"/>
        </w:numPr>
        <w:tabs>
          <w:tab w:val="num" w:pos="540"/>
        </w:tabs>
      </w:pPr>
      <w:r w:rsidRPr="00236A76">
        <w:t>vykonať poťažbovú úpravu pracovísk a to najmä:</w:t>
      </w:r>
    </w:p>
    <w:p w14:paraId="1AED4C47" w14:textId="77777777" w:rsidR="00236A76" w:rsidRPr="00236A76" w:rsidRDefault="00236A76" w:rsidP="006059E6">
      <w:pPr>
        <w:numPr>
          <w:ilvl w:val="0"/>
          <w:numId w:val="27"/>
        </w:numPr>
      </w:pPr>
      <w:r w:rsidRPr="00236A76">
        <w:t xml:space="preserve">denne, po skončení pracovnej smeny vyčistiť odvozné cesty, približovacie cesty (vrátane ich odvodňovacích priekop), značené turistické trasy a chodníky od ťažbových zbytkov </w:t>
      </w:r>
    </w:p>
    <w:p w14:paraId="1C93FBBD" w14:textId="77777777" w:rsidR="00236A76" w:rsidRPr="00236A76" w:rsidRDefault="00236A76" w:rsidP="006059E6">
      <w:pPr>
        <w:numPr>
          <w:ilvl w:val="0"/>
          <w:numId w:val="27"/>
        </w:numPr>
      </w:pPr>
      <w:r w:rsidRPr="00236A76">
        <w:t xml:space="preserve">denne vyčistiť vodné toky a brehy (do vzdialenosti 5 m na obidve strany) od ťažbových zbytkov </w:t>
      </w:r>
    </w:p>
    <w:p w14:paraId="742D411F" w14:textId="77777777" w:rsidR="00236A76" w:rsidRPr="00236A76" w:rsidRDefault="00236A76" w:rsidP="006059E6">
      <w:pPr>
        <w:numPr>
          <w:ilvl w:val="0"/>
          <w:numId w:val="27"/>
        </w:numPr>
      </w:pPr>
      <w:r w:rsidRPr="00236A76">
        <w:lastRenderedPageBreak/>
        <w:t>denne vyčistiť všetky odrážky na trase približovania a 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7777777" w:rsidR="00236A76" w:rsidRPr="00236A76" w:rsidRDefault="00236A76" w:rsidP="006059E6">
      <w:pPr>
        <w:numPr>
          <w:ilvl w:val="0"/>
          <w:numId w:val="27"/>
        </w:numPr>
      </w:pPr>
      <w:r w:rsidRPr="00236A76">
        <w:t>vyplniť erózne ryhy v 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77777777" w:rsidR="00236A76" w:rsidRPr="00236A76" w:rsidRDefault="00236A76" w:rsidP="006059E6">
      <w:pPr>
        <w:numPr>
          <w:ilvl w:val="0"/>
          <w:numId w:val="39"/>
        </w:numPr>
        <w:tabs>
          <w:tab w:val="num" w:pos="540"/>
        </w:tabs>
      </w:pPr>
      <w:r w:rsidRPr="00236A76">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8D54FFC" w14:textId="77777777" w:rsidR="00236A76" w:rsidRPr="00236A76" w:rsidRDefault="00236A76" w:rsidP="006059E6">
      <w:pPr>
        <w:numPr>
          <w:ilvl w:val="0"/>
          <w:numId w:val="39"/>
        </w:numPr>
        <w:tabs>
          <w:tab w:val="num" w:pos="540"/>
        </w:tabs>
      </w:pPr>
      <w:r w:rsidRPr="00236A76">
        <w:t>použitie protišmykových reťazí je zakázané na lesných cestách s povrchovou úpravou vozovky, pokiaľ nie sú pokryté ľadom alebo súvislou ujazdenou vrstvou snehu o hrúbke minimálne 5 cm</w:t>
      </w:r>
    </w:p>
    <w:p w14:paraId="6A6A59AD" w14:textId="77777777" w:rsidR="00236A76" w:rsidRPr="00236A76" w:rsidRDefault="00236A76" w:rsidP="00236A76">
      <w:pPr>
        <w:tabs>
          <w:tab w:val="num" w:pos="756"/>
        </w:tabs>
        <w:rPr>
          <w:b/>
        </w:rPr>
      </w:pPr>
      <w:r w:rsidRPr="00236A76">
        <w:rPr>
          <w:b/>
        </w:rPr>
        <w:t>Manipulácia s ropnými produktmi</w:t>
      </w:r>
    </w:p>
    <w:p w14:paraId="0CFF279B" w14:textId="77777777" w:rsidR="00236A76" w:rsidRPr="00236A76" w:rsidRDefault="00236A76" w:rsidP="006059E6">
      <w:pPr>
        <w:numPr>
          <w:ilvl w:val="0"/>
          <w:numId w:val="38"/>
        </w:numPr>
      </w:pPr>
      <w:r w:rsidRPr="00236A76">
        <w:t>pri manipulácii s ropnými produktmi vykonávať primerané opatrenia za zamedzenie úniku týchto látok do prostredia. Pri úniku ropných látok okamžite vykonať asanačné opatrenia a udalosť ohlásiť objednávateľovi</w:t>
      </w:r>
    </w:p>
    <w:p w14:paraId="339F0C0C" w14:textId="77777777" w:rsidR="00236A76" w:rsidRPr="00236A76" w:rsidRDefault="00236A76" w:rsidP="006059E6">
      <w:pPr>
        <w:numPr>
          <w:ilvl w:val="0"/>
          <w:numId w:val="38"/>
        </w:numPr>
      </w:pPr>
      <w:r w:rsidRPr="00236A76">
        <w:t>odstavovať (parkovať) stroje len na miestach na to určených, ktoré nie sú v blízkosti vodných zdrojov. Motorovú časť a nádrže na pohonné hmoty zabezpečiť (podložiť) záchytnými nádobami (vaňami)</w:t>
      </w:r>
    </w:p>
    <w:p w14:paraId="779DFEAC" w14:textId="77777777" w:rsidR="00236A76" w:rsidRPr="00236A76" w:rsidRDefault="00236A76" w:rsidP="006059E6">
      <w:pPr>
        <w:numPr>
          <w:ilvl w:val="0"/>
          <w:numId w:val="38"/>
        </w:numPr>
      </w:pPr>
      <w:r w:rsidRPr="00236A76">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3401648" w14:textId="77777777" w:rsidR="00236A76" w:rsidRPr="00236A76" w:rsidRDefault="00236A76" w:rsidP="006059E6">
      <w:pPr>
        <w:numPr>
          <w:ilvl w:val="0"/>
          <w:numId w:val="38"/>
        </w:numPr>
      </w:pPr>
      <w:r w:rsidRPr="00236A76">
        <w:t>tankovať pohonné hmoty a mazivá do JMP vo vzdialenosti minimálne 25 m od brehovej čiary vodného toku, nádrže, studničky alebo prameňa</w:t>
      </w:r>
    </w:p>
    <w:p w14:paraId="4CA37D21" w14:textId="77777777" w:rsidR="00236A76" w:rsidRPr="00236A76" w:rsidRDefault="00236A76" w:rsidP="006059E6">
      <w:pPr>
        <w:numPr>
          <w:ilvl w:val="0"/>
          <w:numId w:val="38"/>
        </w:numPr>
      </w:pPr>
      <w:r w:rsidRPr="00236A76">
        <w:t xml:space="preserve">neutralizovať uniknuté nebezpečné látky (ropné látky) absorpčnými hmotami k tomu určenými (Vapex, Perlit) a s použitým absorbentom nakladať v zmysle predpisov o nakladaní s odpadmi  </w:t>
      </w:r>
    </w:p>
    <w:p w14:paraId="370444F1" w14:textId="77777777" w:rsidR="00236A76" w:rsidRPr="00236A76" w:rsidRDefault="00236A76" w:rsidP="00236A76">
      <w:pPr>
        <w:tabs>
          <w:tab w:val="num" w:pos="756"/>
        </w:tabs>
        <w:rPr>
          <w:b/>
        </w:rPr>
      </w:pPr>
    </w:p>
    <w:p w14:paraId="39D595E3" w14:textId="77777777" w:rsidR="00236A76" w:rsidRPr="00236A76" w:rsidRDefault="00236A76" w:rsidP="00236A76">
      <w:pPr>
        <w:tabs>
          <w:tab w:val="num" w:pos="756"/>
        </w:tabs>
        <w:rPr>
          <w:b/>
        </w:rPr>
      </w:pPr>
      <w:r w:rsidRPr="00236A76">
        <w:rPr>
          <w:b/>
        </w:rPr>
        <w:t>Aplikácia chemických látok a nakladanie s odpadmi</w:t>
      </w:r>
    </w:p>
    <w:p w14:paraId="51E3F21E" w14:textId="77777777" w:rsidR="00236A76" w:rsidRPr="00236A76" w:rsidRDefault="00236A76" w:rsidP="006059E6">
      <w:pPr>
        <w:numPr>
          <w:ilvl w:val="0"/>
          <w:numId w:val="37"/>
        </w:numPr>
        <w:tabs>
          <w:tab w:val="num" w:pos="540"/>
        </w:tabs>
      </w:pPr>
      <w:r w:rsidRPr="00236A76">
        <w:t xml:space="preserve">manipulovať s chemickým prípravkom v súlade s kartou bezpečnostných údajov poskytnutou lesnou správou </w:t>
      </w:r>
    </w:p>
    <w:p w14:paraId="30CC3BC5" w14:textId="77777777" w:rsidR="00236A76" w:rsidRPr="00236A76" w:rsidRDefault="00236A76" w:rsidP="006059E6">
      <w:pPr>
        <w:numPr>
          <w:ilvl w:val="0"/>
          <w:numId w:val="37"/>
        </w:numPr>
        <w:tabs>
          <w:tab w:val="num" w:pos="540"/>
        </w:tabs>
      </w:pPr>
      <w:r w:rsidRPr="00236A76">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77777777" w:rsidR="00236A76" w:rsidRPr="00236A76" w:rsidRDefault="00236A76" w:rsidP="006059E6">
      <w:pPr>
        <w:numPr>
          <w:ilvl w:val="0"/>
          <w:numId w:val="37"/>
        </w:numPr>
        <w:tabs>
          <w:tab w:val="num" w:pos="540"/>
        </w:tabs>
      </w:pPr>
      <w:r w:rsidRPr="00236A76">
        <w:t>odstrániť z 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t>lekárska záchranná služba</w:t>
      </w:r>
      <w:r w:rsidRPr="00236A76">
        <w:tab/>
        <w:t>155</w:t>
      </w:r>
    </w:p>
    <w:p w14:paraId="33C5BA2A" w14:textId="77777777" w:rsidR="00236A76" w:rsidRPr="00236A76" w:rsidRDefault="00236A76" w:rsidP="00236A76">
      <w:r w:rsidRPr="00236A76">
        <w:lastRenderedPageBreak/>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7777777" w:rsidR="00236A76" w:rsidRPr="00236A76" w:rsidRDefault="00236A76" w:rsidP="006059E6">
      <w:pPr>
        <w:numPr>
          <w:ilvl w:val="0"/>
          <w:numId w:val="40"/>
        </w:numPr>
      </w:pPr>
      <w:r w:rsidRPr="00236A76">
        <w:t>Požiadavky a podmienky uvedené v týchto všeobecne záväzných podmienkach môžu byť spresnené alebo upravené v 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77777777" w:rsidR="00236A76" w:rsidRPr="00236A76" w:rsidRDefault="00236A76" w:rsidP="00236A76">
      <w:r w:rsidRPr="00236A76">
        <w:t>Svojim podpisom potvrdzujem, že som sa oboznámil s 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77777777"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lastRenderedPageBreak/>
        <w:t>Dohoda o samofakturácii</w:t>
      </w:r>
    </w:p>
    <w:p w14:paraId="07FC9652" w14:textId="77777777" w:rsidR="00236A76" w:rsidRPr="00236A76" w:rsidRDefault="00236A76" w:rsidP="00236A76">
      <w:pPr>
        <w:tabs>
          <w:tab w:val="center" w:pos="4536"/>
          <w:tab w:val="right" w:pos="9072"/>
        </w:tabs>
        <w:spacing w:after="0"/>
        <w:jc w:val="center"/>
        <w:rPr>
          <w:noProof/>
          <w:szCs w:val="20"/>
        </w:rPr>
      </w:pPr>
      <w:r w:rsidRPr="00236A76">
        <w:rPr>
          <w:noProof/>
          <w:szCs w:val="20"/>
        </w:rPr>
        <w:t>(uzatvorená v súlade s § 72 ods. 4 zákona č. 222/2004 Z. z. o dani z pridanej hodnoty v znení neskroších predpisov)</w:t>
      </w:r>
    </w:p>
    <w:p w14:paraId="001F6DB5" w14:textId="77777777" w:rsidR="00236A76" w:rsidRPr="00236A76" w:rsidRDefault="00236A76" w:rsidP="00236A76">
      <w:pPr>
        <w:spacing w:after="0"/>
        <w:jc w:val="right"/>
        <w:rPr>
          <w:rFonts w:cs="Arial"/>
          <w:noProof/>
          <w:szCs w:val="20"/>
        </w:rPr>
      </w:pPr>
    </w:p>
    <w:p w14:paraId="0080AB0F" w14:textId="2CAF0820" w:rsidR="00236A76" w:rsidRPr="00236A76" w:rsidRDefault="00236A76" w:rsidP="00236A76">
      <w:pPr>
        <w:spacing w:after="0"/>
        <w:jc w:val="right"/>
        <w:rPr>
          <w:rFonts w:cs="Arial"/>
          <w:b/>
          <w:noProof/>
          <w:szCs w:val="20"/>
        </w:rPr>
      </w:pPr>
      <w:r w:rsidRPr="00236A76">
        <w:rPr>
          <w:rFonts w:cs="Arial"/>
          <w:noProof/>
          <w:szCs w:val="20"/>
        </w:rPr>
        <w:t xml:space="preserve">Príloha č. 2 k zmluve o 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77777777"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Ing. Matej Vigoda -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77777777" w:rsidR="00236A76" w:rsidRPr="00236A76" w:rsidRDefault="00236A76" w:rsidP="00236A76">
            <w:pPr>
              <w:spacing w:after="0" w:line="360" w:lineRule="auto"/>
              <w:jc w:val="both"/>
              <w:rPr>
                <w:rFonts w:cs="Arial"/>
                <w:noProof/>
                <w:szCs w:val="20"/>
              </w:rPr>
            </w:pPr>
            <w:r w:rsidRPr="00236A76">
              <w:rPr>
                <w:rFonts w:cs="Arial"/>
                <w:noProof/>
                <w:szCs w:val="20"/>
              </w:rPr>
              <w:t>Zapísaný v Obchodnom registri Okresného súdu v 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5A5C3B44" w14:textId="77777777" w:rsidR="00236A76" w:rsidRPr="00236A76" w:rsidRDefault="00236A76" w:rsidP="00236A76">
      <w:pPr>
        <w:spacing w:after="0"/>
        <w:jc w:val="center"/>
        <w:rPr>
          <w:rFonts w:cs="Arial"/>
          <w:noProof/>
          <w:szCs w:val="20"/>
        </w:rPr>
      </w:pPr>
    </w:p>
    <w:p w14:paraId="1F5A738D" w14:textId="77777777" w:rsidR="00236A76" w:rsidRPr="00236A76" w:rsidRDefault="00236A76" w:rsidP="00236A76">
      <w:pPr>
        <w:spacing w:after="0"/>
        <w:jc w:val="center"/>
        <w:rPr>
          <w:rFonts w:cs="Arial"/>
          <w:noProof/>
          <w:szCs w:val="20"/>
        </w:rPr>
      </w:pPr>
    </w:p>
    <w:p w14:paraId="6C0FA583"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236A76">
      <w:pPr>
        <w:spacing w:after="0"/>
        <w:jc w:val="center"/>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bookmarkStart w:id="2" w:name="_GoBack"/>
      <w:bookmarkEnd w:id="2"/>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DCC2" w14:textId="77777777" w:rsidR="006059E6" w:rsidRDefault="006059E6">
      <w:r>
        <w:separator/>
      </w:r>
    </w:p>
  </w:endnote>
  <w:endnote w:type="continuationSeparator" w:id="0">
    <w:p w14:paraId="3E6368D9" w14:textId="77777777" w:rsidR="006059E6" w:rsidRDefault="0060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1A473" w14:textId="77777777" w:rsidR="006059E6" w:rsidRDefault="006059E6">
      <w:r>
        <w:separator/>
      </w:r>
    </w:p>
  </w:footnote>
  <w:footnote w:type="continuationSeparator" w:id="0">
    <w:p w14:paraId="53167507" w14:textId="77777777" w:rsidR="006059E6" w:rsidRDefault="0060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1914-9FA0-4BD4-802A-E46B15D5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9083</Words>
  <Characters>51775</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Tabernaus, Marek</cp:lastModifiedBy>
  <cp:revision>6</cp:revision>
  <cp:lastPrinted>2020-05-15T08:49:00Z</cp:lastPrinted>
  <dcterms:created xsi:type="dcterms:W3CDTF">2021-03-18T13:24:00Z</dcterms:created>
  <dcterms:modified xsi:type="dcterms:W3CDTF">2021-03-19T14:01:00Z</dcterms:modified>
</cp:coreProperties>
</file>