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B2C" w:rsidRDefault="009025FC" w:rsidP="009025FC">
      <w:pPr>
        <w:rPr>
          <w:b/>
        </w:rPr>
      </w:pPr>
      <w:r w:rsidRPr="00EC6BA9">
        <w:rPr>
          <w:b/>
        </w:rPr>
        <w:t xml:space="preserve">MINISTERSTVO </w:t>
      </w:r>
      <w:r w:rsidR="006842A6" w:rsidRPr="00EC6BA9">
        <w:rPr>
          <w:b/>
          <w:caps/>
        </w:rPr>
        <w:t>Zdravotníctva</w:t>
      </w:r>
      <w:r w:rsidRPr="00EC6BA9">
        <w:rPr>
          <w:b/>
        </w:rPr>
        <w:t xml:space="preserve"> SR</w:t>
      </w:r>
      <w:r w:rsidRPr="00EC6BA9">
        <w:rPr>
          <w:b/>
        </w:rPr>
        <w:tab/>
      </w:r>
    </w:p>
    <w:p w:rsidR="006842A6" w:rsidRPr="00DC1B2C" w:rsidRDefault="00DC1B2C" w:rsidP="009025FC">
      <w:r w:rsidRPr="00DC1B2C">
        <w:t>Odbor verejného obstarávania</w:t>
      </w:r>
      <w:r w:rsidR="009025FC" w:rsidRPr="00DC1B2C">
        <w:tab/>
      </w:r>
      <w:r w:rsidR="009025FC" w:rsidRPr="00DC1B2C">
        <w:tab/>
      </w:r>
      <w:r w:rsidR="009025FC" w:rsidRPr="00DC1B2C">
        <w:tab/>
      </w:r>
      <w:r w:rsidR="00053E14" w:rsidRPr="00DC1B2C">
        <w:t xml:space="preserve">           </w:t>
      </w:r>
    </w:p>
    <w:p w:rsidR="00686E4C" w:rsidRPr="00EC6BA9" w:rsidRDefault="009025FC" w:rsidP="00B20083">
      <w:pPr>
        <w:jc w:val="both"/>
      </w:pPr>
      <w:r w:rsidRPr="00EC6BA9">
        <w:tab/>
      </w:r>
      <w:r w:rsidRPr="00EC6BA9">
        <w:tab/>
      </w:r>
      <w:r w:rsidRPr="00EC6BA9">
        <w:tab/>
      </w:r>
      <w:r w:rsidR="009F658B" w:rsidRPr="00EC6BA9">
        <w:tab/>
      </w:r>
      <w:r w:rsidR="009F658B" w:rsidRPr="00EC6BA9">
        <w:tab/>
      </w:r>
    </w:p>
    <w:p w:rsidR="009025FC" w:rsidRDefault="00DC1B2C" w:rsidP="001208D5">
      <w:pPr>
        <w:jc w:val="center"/>
        <w:rPr>
          <w:b/>
        </w:rPr>
      </w:pPr>
      <w:r>
        <w:rPr>
          <w:b/>
        </w:rPr>
        <w:t>Informácia o výsledku vyhodnotenia ponúk a poradie uchádzačov</w:t>
      </w:r>
    </w:p>
    <w:p w:rsidR="00DC1B2C" w:rsidRDefault="00DC1B2C" w:rsidP="001208D5">
      <w:pPr>
        <w:jc w:val="center"/>
        <w:rPr>
          <w:b/>
        </w:rPr>
      </w:pPr>
    </w:p>
    <w:tbl>
      <w:tblPr>
        <w:tblStyle w:val="Obyajntabuka4"/>
        <w:tblW w:w="0" w:type="auto"/>
        <w:tblLook w:val="0000" w:firstRow="0" w:lastRow="0" w:firstColumn="0" w:lastColumn="0" w:noHBand="0" w:noVBand="0"/>
      </w:tblPr>
      <w:tblGrid>
        <w:gridCol w:w="1976"/>
        <w:gridCol w:w="7096"/>
      </w:tblGrid>
      <w:tr w:rsidR="00C00D96" w:rsidTr="00105158">
        <w:trPr>
          <w:cnfStyle w:val="000000100000" w:firstRow="0" w:lastRow="0" w:firstColumn="0" w:lastColumn="0" w:oddVBand="0" w:evenVBand="0" w:oddHBand="1" w:evenHBand="0" w:firstRowFirstColumn="0" w:firstRowLastColumn="0" w:lastRowFirstColumn="0" w:lastRowLastColumn="0"/>
          <w:trHeight w:val="629"/>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rPr>
                <w:b/>
                <w:bCs/>
              </w:rPr>
            </w:pPr>
            <w:r w:rsidRPr="00DC1B2C">
              <w:rPr>
                <w:b/>
              </w:rPr>
              <w:t xml:space="preserve">Predmet obstarávania: </w:t>
            </w:r>
          </w:p>
          <w:p w:rsidR="00DC1B2C" w:rsidRPr="00DC1B2C" w:rsidRDefault="00DC1B2C" w:rsidP="00DC1B2C">
            <w:pPr>
              <w:ind w:left="37"/>
              <w:jc w:val="both"/>
              <w:rPr>
                <w:b/>
              </w:rPr>
            </w:pPr>
          </w:p>
        </w:tc>
        <w:tc>
          <w:tcPr>
            <w:tcW w:w="0" w:type="auto"/>
            <w:shd w:val="clear" w:color="auto" w:fill="auto"/>
          </w:tcPr>
          <w:p w:rsidR="00DC1B2C" w:rsidRPr="00DC1B2C" w:rsidRDefault="008F07BF" w:rsidP="0094795C">
            <w:pPr>
              <w:ind w:left="37"/>
              <w:jc w:val="both"/>
              <w:cnfStyle w:val="000000100000" w:firstRow="0" w:lastRow="0" w:firstColumn="0" w:lastColumn="0" w:oddVBand="0" w:evenVBand="0" w:oddHBand="1" w:evenHBand="0" w:firstRowFirstColumn="0" w:firstRowLastColumn="0" w:lastRowFirstColumn="0" w:lastRowLastColumn="0"/>
              <w:rPr>
                <w:b/>
              </w:rPr>
            </w:pPr>
            <w:r w:rsidRPr="008F07BF">
              <w:rPr>
                <w:bCs/>
              </w:rPr>
              <w:t>Nemocničné lôžka vrátane doplnkovej výbavy, nočných stolíkov, matracov a záručného servisu</w:t>
            </w:r>
            <w:r w:rsidR="0005229C">
              <w:rPr>
                <w:bCs/>
              </w:rPr>
              <w:t xml:space="preserve"> –</w:t>
            </w:r>
            <w:r w:rsidR="00F8208A">
              <w:rPr>
                <w:bCs/>
              </w:rPr>
              <w:t xml:space="preserve"> </w:t>
            </w:r>
            <w:r w:rsidR="003750BD" w:rsidRPr="00F8208A">
              <w:rPr>
                <w:b/>
                <w:bCs/>
                <w:iCs/>
              </w:rPr>
              <w:t xml:space="preserve">Kategória L </w:t>
            </w:r>
            <w:r w:rsidR="00904FEB">
              <w:rPr>
                <w:b/>
                <w:bCs/>
                <w:iCs/>
              </w:rPr>
              <w:t>4</w:t>
            </w:r>
            <w:r w:rsidR="003750BD" w:rsidRPr="00F8208A">
              <w:rPr>
                <w:b/>
                <w:bCs/>
                <w:iCs/>
              </w:rPr>
              <w:t xml:space="preserve">: </w:t>
            </w:r>
            <w:r w:rsidR="00904FEB" w:rsidRPr="00904FEB">
              <w:rPr>
                <w:b/>
                <w:bCs/>
                <w:iCs/>
              </w:rPr>
              <w:t xml:space="preserve">Lôžka elektrické špecifikácie II </w:t>
            </w:r>
            <w:r w:rsidR="006733E8" w:rsidRPr="00F8208A">
              <w:rPr>
                <w:b/>
                <w:bCs/>
              </w:rPr>
              <w:t xml:space="preserve">pre </w:t>
            </w:r>
            <w:r w:rsidR="00C00D96">
              <w:rPr>
                <w:b/>
                <w:bCs/>
                <w:iCs/>
              </w:rPr>
              <w:t>Fakultnú nemocnicu Trenčín</w:t>
            </w:r>
          </w:p>
        </w:tc>
      </w:tr>
      <w:tr w:rsidR="00C00D96" w:rsidTr="00105158">
        <w:trPr>
          <w:trHeight w:val="642"/>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pPr>
            <w:r w:rsidRPr="00DC1B2C">
              <w:rPr>
                <w:b/>
              </w:rPr>
              <w:t xml:space="preserve">Druh postupu:      </w:t>
            </w:r>
          </w:p>
          <w:p w:rsidR="00DC1B2C" w:rsidRPr="00DC1B2C" w:rsidRDefault="00DC1B2C" w:rsidP="00DC1B2C">
            <w:pPr>
              <w:ind w:left="37"/>
              <w:jc w:val="both"/>
              <w:rPr>
                <w:b/>
              </w:rPr>
            </w:pPr>
          </w:p>
        </w:tc>
        <w:tc>
          <w:tcPr>
            <w:tcW w:w="0" w:type="auto"/>
            <w:shd w:val="clear" w:color="auto" w:fill="auto"/>
          </w:tcPr>
          <w:p w:rsidR="00DC1B2C" w:rsidRPr="00DC1B2C" w:rsidRDefault="00DC1B2C" w:rsidP="008F07BF">
            <w:pPr>
              <w:ind w:left="37"/>
              <w:jc w:val="both"/>
              <w:cnfStyle w:val="000000000000" w:firstRow="0" w:lastRow="0" w:firstColumn="0" w:lastColumn="0" w:oddVBand="0" w:evenVBand="0" w:oddHBand="0" w:evenHBand="0" w:firstRowFirstColumn="0" w:firstRowLastColumn="0" w:lastRowFirstColumn="0" w:lastRowLastColumn="0"/>
              <w:rPr>
                <w:b/>
              </w:rPr>
            </w:pPr>
            <w:r w:rsidRPr="00DC1B2C">
              <w:t>NADLIMITNÁ VEREJNÁ SÚŤAŽ</w:t>
            </w:r>
            <w:r w:rsidR="006733E8">
              <w:t xml:space="preserve"> </w:t>
            </w:r>
          </w:p>
        </w:tc>
      </w:tr>
      <w:tr w:rsidR="00C00D96" w:rsidTr="00105158">
        <w:trPr>
          <w:cnfStyle w:val="000000100000" w:firstRow="0" w:lastRow="0" w:firstColumn="0" w:lastColumn="0" w:oddVBand="0" w:evenVBand="0" w:oddHBand="1" w:evenHBand="0" w:firstRowFirstColumn="0" w:firstRowLastColumn="0" w:lastRowFirstColumn="0" w:lastRowLastColumn="0"/>
          <w:trHeight w:val="552"/>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rPr>
                <w:b/>
              </w:rPr>
            </w:pPr>
            <w:r w:rsidRPr="00DC1B2C">
              <w:rPr>
                <w:b/>
              </w:rPr>
              <w:t xml:space="preserve">Označenie: </w:t>
            </w:r>
          </w:p>
        </w:tc>
        <w:tc>
          <w:tcPr>
            <w:tcW w:w="0" w:type="auto"/>
            <w:shd w:val="clear" w:color="auto" w:fill="auto"/>
          </w:tcPr>
          <w:p w:rsidR="00DC1B2C" w:rsidRPr="00DC1B2C" w:rsidRDefault="004D7C55" w:rsidP="00DC1B2C">
            <w:pPr>
              <w:ind w:left="37"/>
              <w:jc w:val="both"/>
              <w:cnfStyle w:val="000000100000" w:firstRow="0" w:lastRow="0" w:firstColumn="0" w:lastColumn="0" w:oddVBand="0" w:evenVBand="0" w:oddHBand="1" w:evenHBand="0" w:firstRowFirstColumn="0" w:firstRowLastColumn="0" w:lastRowFirstColumn="0" w:lastRowLastColumn="0"/>
              <w:rPr>
                <w:b/>
              </w:rPr>
            </w:pPr>
            <w:r w:rsidRPr="004D7C55">
              <w:rPr>
                <w:bCs/>
              </w:rPr>
              <w:t>142/2017</w:t>
            </w:r>
            <w:r>
              <w:rPr>
                <w:bCs/>
              </w:rPr>
              <w:t xml:space="preserve"> </w:t>
            </w:r>
            <w:r w:rsidR="00DC1B2C" w:rsidRPr="004D7C55">
              <w:rPr>
                <w:bCs/>
              </w:rPr>
              <w:t xml:space="preserve">pod číslom: </w:t>
            </w:r>
            <w:r w:rsidRPr="004D7C55">
              <w:rPr>
                <w:bCs/>
              </w:rPr>
              <w:t xml:space="preserve">10410 – MST </w:t>
            </w:r>
            <w:r w:rsidR="00DC1B2C" w:rsidRPr="004D7C55">
              <w:rPr>
                <w:bCs/>
              </w:rPr>
              <w:t xml:space="preserve">zo dňa: </w:t>
            </w:r>
            <w:r w:rsidRPr="004D7C55">
              <w:rPr>
                <w:bCs/>
              </w:rPr>
              <w:t>20.07.2017</w:t>
            </w:r>
          </w:p>
        </w:tc>
      </w:tr>
    </w:tbl>
    <w:p w:rsidR="00D26106" w:rsidRDefault="006733E8" w:rsidP="00105158">
      <w:pPr>
        <w:rPr>
          <w:b/>
          <w:bCs/>
          <w:iCs/>
        </w:rPr>
      </w:pPr>
      <w:r w:rsidRPr="006733E8">
        <w:rPr>
          <w:bCs/>
          <w:iCs/>
        </w:rPr>
        <w:t xml:space="preserve">Opätovné otvorenie súťaže </w:t>
      </w:r>
      <w:r>
        <w:rPr>
          <w:bCs/>
          <w:iCs/>
        </w:rPr>
        <w:t>n</w:t>
      </w:r>
      <w:r w:rsidR="00305CA2">
        <w:rPr>
          <w:bCs/>
          <w:iCs/>
        </w:rPr>
        <w:t>a základe Rámcovej dohody č</w:t>
      </w:r>
      <w:r w:rsidR="00305CA2" w:rsidRPr="004D7C55">
        <w:rPr>
          <w:b/>
          <w:bCs/>
          <w:iCs/>
        </w:rPr>
        <w:t xml:space="preserve">. </w:t>
      </w:r>
      <w:r w:rsidR="008F07BF" w:rsidRPr="004D7C55">
        <w:rPr>
          <w:b/>
          <w:bCs/>
          <w:iCs/>
        </w:rPr>
        <w:t>12</w:t>
      </w:r>
      <w:r w:rsidR="00904FEB">
        <w:rPr>
          <w:b/>
          <w:bCs/>
          <w:iCs/>
        </w:rPr>
        <w:t>5</w:t>
      </w:r>
      <w:r w:rsidR="008F07BF" w:rsidRPr="004D7C55">
        <w:rPr>
          <w:b/>
          <w:bCs/>
          <w:iCs/>
        </w:rPr>
        <w:t>/2018</w:t>
      </w:r>
      <w:r w:rsidR="00D26106">
        <w:rPr>
          <w:bCs/>
          <w:iCs/>
        </w:rPr>
        <w:t xml:space="preserve"> </w:t>
      </w:r>
    </w:p>
    <w:p w:rsidR="00105158" w:rsidRPr="006733E8" w:rsidRDefault="00904FEB" w:rsidP="00105158">
      <w:pPr>
        <w:rPr>
          <w:bCs/>
          <w:iCs/>
        </w:rPr>
      </w:pPr>
      <w:r w:rsidRPr="00F8208A">
        <w:rPr>
          <w:b/>
          <w:bCs/>
          <w:iCs/>
        </w:rPr>
        <w:t xml:space="preserve">Kategória L </w:t>
      </w:r>
      <w:r>
        <w:rPr>
          <w:b/>
          <w:bCs/>
          <w:iCs/>
        </w:rPr>
        <w:t>4</w:t>
      </w:r>
      <w:r w:rsidRPr="00F8208A">
        <w:rPr>
          <w:b/>
          <w:bCs/>
          <w:iCs/>
        </w:rPr>
        <w:t xml:space="preserve">: </w:t>
      </w:r>
      <w:r w:rsidRPr="00904FEB">
        <w:rPr>
          <w:b/>
          <w:bCs/>
          <w:iCs/>
        </w:rPr>
        <w:t>Lôžka elektrické špecifikácie II</w:t>
      </w:r>
    </w:p>
    <w:tbl>
      <w:tblPr>
        <w:tblW w:w="9246" w:type="dxa"/>
        <w:tblCellMar>
          <w:left w:w="70" w:type="dxa"/>
          <w:right w:w="70" w:type="dxa"/>
        </w:tblCellMar>
        <w:tblLook w:val="04A0" w:firstRow="1" w:lastRow="0" w:firstColumn="1" w:lastColumn="0" w:noHBand="0" w:noVBand="1"/>
      </w:tblPr>
      <w:tblGrid>
        <w:gridCol w:w="1136"/>
        <w:gridCol w:w="5793"/>
        <w:gridCol w:w="2317"/>
      </w:tblGrid>
      <w:tr w:rsidR="00C00D96" w:rsidRPr="00AC7A85" w:rsidTr="00634085">
        <w:trPr>
          <w:trHeight w:val="272"/>
        </w:trPr>
        <w:tc>
          <w:tcPr>
            <w:tcW w:w="1136" w:type="dxa"/>
            <w:vMerge w:val="restart"/>
            <w:tcBorders>
              <w:top w:val="nil"/>
              <w:left w:val="nil"/>
              <w:bottom w:val="single" w:sz="8" w:space="0" w:color="C0C0C0"/>
              <w:right w:val="nil"/>
            </w:tcBorders>
            <w:shd w:val="clear" w:color="000000" w:fill="FFFFFF"/>
            <w:vAlign w:val="center"/>
            <w:hideMark/>
          </w:tcPr>
          <w:p w:rsidR="00C00D96" w:rsidRPr="00AC7A85" w:rsidRDefault="00C00D96" w:rsidP="00634085">
            <w:pPr>
              <w:rPr>
                <w:rFonts w:ascii="Open Sans" w:hAnsi="Open Sans" w:cs="Calibri"/>
                <w:b/>
                <w:bCs/>
                <w:color w:val="333333"/>
                <w:sz w:val="20"/>
                <w:szCs w:val="20"/>
              </w:rPr>
            </w:pPr>
            <w:r w:rsidRPr="00AC7A85">
              <w:rPr>
                <w:rFonts w:ascii="Open Sans" w:hAnsi="Open Sans" w:cs="Calibri"/>
                <w:b/>
                <w:bCs/>
                <w:color w:val="333333"/>
                <w:sz w:val="20"/>
                <w:szCs w:val="20"/>
              </w:rPr>
              <w:t>Číslo</w:t>
            </w:r>
          </w:p>
        </w:tc>
        <w:tc>
          <w:tcPr>
            <w:tcW w:w="5793" w:type="dxa"/>
            <w:vMerge w:val="restart"/>
            <w:tcBorders>
              <w:top w:val="nil"/>
              <w:left w:val="nil"/>
              <w:bottom w:val="single" w:sz="8" w:space="0" w:color="C0C0C0"/>
              <w:right w:val="nil"/>
            </w:tcBorders>
            <w:shd w:val="clear" w:color="000000" w:fill="FFFFFF"/>
            <w:vAlign w:val="center"/>
            <w:hideMark/>
          </w:tcPr>
          <w:p w:rsidR="00C00D96" w:rsidRPr="00AC7A85" w:rsidRDefault="00C00D96" w:rsidP="00634085">
            <w:pPr>
              <w:rPr>
                <w:rFonts w:ascii="Open Sans" w:hAnsi="Open Sans" w:cs="Calibri"/>
                <w:b/>
                <w:bCs/>
                <w:color w:val="333333"/>
                <w:sz w:val="20"/>
                <w:szCs w:val="20"/>
              </w:rPr>
            </w:pPr>
            <w:r w:rsidRPr="00AC7A85">
              <w:rPr>
                <w:rFonts w:ascii="Open Sans" w:hAnsi="Open Sans" w:cs="Calibri"/>
                <w:b/>
                <w:bCs/>
                <w:color w:val="333333"/>
                <w:sz w:val="20"/>
                <w:szCs w:val="20"/>
              </w:rPr>
              <w:t>Položka</w:t>
            </w:r>
          </w:p>
        </w:tc>
        <w:tc>
          <w:tcPr>
            <w:tcW w:w="2317" w:type="dxa"/>
            <w:vMerge w:val="restart"/>
            <w:tcBorders>
              <w:top w:val="nil"/>
              <w:left w:val="nil"/>
              <w:bottom w:val="single" w:sz="8" w:space="0" w:color="C0C0C0"/>
              <w:right w:val="nil"/>
            </w:tcBorders>
            <w:shd w:val="clear" w:color="000000" w:fill="FFFFFF"/>
            <w:vAlign w:val="center"/>
            <w:hideMark/>
          </w:tcPr>
          <w:p w:rsidR="00C00D96" w:rsidRPr="00AC7A85" w:rsidRDefault="00C00D96" w:rsidP="00634085">
            <w:pPr>
              <w:rPr>
                <w:rFonts w:ascii="Open Sans" w:hAnsi="Open Sans" w:cs="Calibri"/>
                <w:b/>
                <w:bCs/>
                <w:color w:val="333333"/>
                <w:sz w:val="20"/>
                <w:szCs w:val="20"/>
              </w:rPr>
            </w:pPr>
            <w:r w:rsidRPr="00AC7A85">
              <w:rPr>
                <w:rFonts w:ascii="Open Sans" w:hAnsi="Open Sans" w:cs="Calibri"/>
                <w:b/>
                <w:bCs/>
                <w:color w:val="333333"/>
                <w:sz w:val="20"/>
                <w:szCs w:val="20"/>
              </w:rPr>
              <w:t>Množstvo</w:t>
            </w:r>
          </w:p>
        </w:tc>
      </w:tr>
      <w:tr w:rsidR="00C00D96" w:rsidRPr="00AC7A85" w:rsidTr="00BE1A34">
        <w:trPr>
          <w:trHeight w:val="549"/>
        </w:trPr>
        <w:tc>
          <w:tcPr>
            <w:tcW w:w="1136" w:type="dxa"/>
            <w:vMerge/>
            <w:tcBorders>
              <w:top w:val="nil"/>
              <w:left w:val="nil"/>
              <w:bottom w:val="single" w:sz="8" w:space="0" w:color="C0C0C0"/>
              <w:right w:val="nil"/>
            </w:tcBorders>
            <w:vAlign w:val="center"/>
            <w:hideMark/>
          </w:tcPr>
          <w:p w:rsidR="00C00D96" w:rsidRPr="00AC7A85" w:rsidRDefault="00C00D96" w:rsidP="00634085">
            <w:pPr>
              <w:rPr>
                <w:rFonts w:ascii="Open Sans" w:hAnsi="Open Sans" w:cs="Calibri"/>
                <w:b/>
                <w:bCs/>
                <w:color w:val="333333"/>
                <w:sz w:val="20"/>
                <w:szCs w:val="20"/>
              </w:rPr>
            </w:pPr>
          </w:p>
        </w:tc>
        <w:tc>
          <w:tcPr>
            <w:tcW w:w="5793" w:type="dxa"/>
            <w:vMerge/>
            <w:tcBorders>
              <w:top w:val="nil"/>
              <w:left w:val="nil"/>
              <w:bottom w:val="single" w:sz="8" w:space="0" w:color="C0C0C0"/>
              <w:right w:val="nil"/>
            </w:tcBorders>
            <w:vAlign w:val="center"/>
            <w:hideMark/>
          </w:tcPr>
          <w:p w:rsidR="00C00D96" w:rsidRPr="00AC7A85" w:rsidRDefault="00C00D96" w:rsidP="00634085">
            <w:pPr>
              <w:rPr>
                <w:rFonts w:ascii="Open Sans" w:hAnsi="Open Sans" w:cs="Calibri"/>
                <w:b/>
                <w:bCs/>
                <w:color w:val="333333"/>
                <w:sz w:val="20"/>
                <w:szCs w:val="20"/>
              </w:rPr>
            </w:pPr>
          </w:p>
        </w:tc>
        <w:tc>
          <w:tcPr>
            <w:tcW w:w="2317" w:type="dxa"/>
            <w:vMerge/>
            <w:tcBorders>
              <w:top w:val="nil"/>
              <w:left w:val="nil"/>
              <w:bottom w:val="single" w:sz="4" w:space="0" w:color="auto"/>
              <w:right w:val="nil"/>
            </w:tcBorders>
            <w:vAlign w:val="center"/>
            <w:hideMark/>
          </w:tcPr>
          <w:p w:rsidR="00C00D96" w:rsidRPr="00AC7A85" w:rsidRDefault="00C00D96" w:rsidP="00634085">
            <w:pPr>
              <w:rPr>
                <w:rFonts w:ascii="Open Sans" w:hAnsi="Open Sans" w:cs="Calibri"/>
                <w:b/>
                <w:bCs/>
                <w:color w:val="333333"/>
                <w:sz w:val="20"/>
                <w:szCs w:val="20"/>
              </w:rPr>
            </w:pPr>
          </w:p>
        </w:tc>
      </w:tr>
      <w:tr w:rsidR="00C00D96" w:rsidRPr="00AC7A85" w:rsidTr="00BE1A34">
        <w:trPr>
          <w:trHeight w:val="288"/>
        </w:trPr>
        <w:tc>
          <w:tcPr>
            <w:tcW w:w="1136" w:type="dxa"/>
            <w:tcBorders>
              <w:top w:val="nil"/>
              <w:left w:val="nil"/>
              <w:bottom w:val="single" w:sz="8" w:space="0" w:color="C0C0C0"/>
              <w:right w:val="nil"/>
            </w:tcBorders>
            <w:shd w:val="clear" w:color="000000" w:fill="FFFFFF"/>
            <w:vAlign w:val="center"/>
            <w:hideMark/>
          </w:tcPr>
          <w:p w:rsidR="00C00D96" w:rsidRPr="00AC7A85" w:rsidRDefault="00C00D96" w:rsidP="00634085">
            <w:pPr>
              <w:rPr>
                <w:rFonts w:ascii="Open Sans" w:hAnsi="Open Sans" w:cs="Calibri"/>
                <w:color w:val="333333"/>
                <w:sz w:val="20"/>
                <w:szCs w:val="20"/>
              </w:rPr>
            </w:pPr>
            <w:r w:rsidRPr="00AC7A85">
              <w:rPr>
                <w:rFonts w:ascii="Open Sans" w:hAnsi="Open Sans" w:cs="Calibri"/>
                <w:color w:val="333333"/>
                <w:sz w:val="20"/>
                <w:szCs w:val="20"/>
              </w:rPr>
              <w:t>001.</w:t>
            </w:r>
          </w:p>
        </w:tc>
        <w:tc>
          <w:tcPr>
            <w:tcW w:w="5793" w:type="dxa"/>
            <w:tcBorders>
              <w:top w:val="nil"/>
              <w:left w:val="nil"/>
              <w:bottom w:val="single" w:sz="8" w:space="0" w:color="C0C0C0"/>
              <w:right w:val="single" w:sz="4" w:space="0" w:color="auto"/>
            </w:tcBorders>
            <w:shd w:val="clear" w:color="000000" w:fill="FFFFFF"/>
            <w:vAlign w:val="center"/>
            <w:hideMark/>
          </w:tcPr>
          <w:p w:rsidR="00C00D96" w:rsidRPr="00AC7A85" w:rsidRDefault="00C00D96" w:rsidP="00634085">
            <w:pPr>
              <w:rPr>
                <w:rFonts w:ascii="Open Sans" w:hAnsi="Open Sans" w:cs="Calibri"/>
                <w:color w:val="333333"/>
                <w:sz w:val="20"/>
                <w:szCs w:val="20"/>
              </w:rPr>
            </w:pPr>
            <w:r w:rsidRPr="00AC7A85">
              <w:rPr>
                <w:rFonts w:ascii="Open Sans" w:hAnsi="Open Sans" w:cs="Calibri"/>
                <w:color w:val="333333"/>
                <w:sz w:val="20"/>
                <w:szCs w:val="20"/>
              </w:rPr>
              <w:t>Štandardná výbava nemocničného lôžka</w:t>
            </w:r>
          </w:p>
        </w:tc>
        <w:tc>
          <w:tcPr>
            <w:tcW w:w="2317" w:type="dxa"/>
            <w:tcBorders>
              <w:top w:val="single" w:sz="4" w:space="0" w:color="auto"/>
              <w:left w:val="single" w:sz="4" w:space="0" w:color="auto"/>
              <w:bottom w:val="single" w:sz="4" w:space="0" w:color="auto"/>
              <w:right w:val="single" w:sz="4" w:space="0" w:color="auto"/>
            </w:tcBorders>
            <w:shd w:val="clear" w:color="auto" w:fill="9BC2E6"/>
            <w:noWrap/>
            <w:vAlign w:val="bottom"/>
          </w:tcPr>
          <w:p w:rsidR="00C00D96" w:rsidRDefault="00C00D96" w:rsidP="00634085">
            <w:pPr>
              <w:spacing w:line="276" w:lineRule="auto"/>
              <w:jc w:val="center"/>
              <w:rPr>
                <w:color w:val="FF0000"/>
                <w:sz w:val="20"/>
                <w:szCs w:val="20"/>
                <w:lang w:eastAsia="en-US"/>
              </w:rPr>
            </w:pPr>
            <w:r>
              <w:rPr>
                <w:color w:val="FF0000"/>
                <w:sz w:val="20"/>
                <w:szCs w:val="20"/>
                <w:lang w:eastAsia="en-US"/>
              </w:rPr>
              <w:t>65</w:t>
            </w:r>
          </w:p>
        </w:tc>
      </w:tr>
      <w:tr w:rsidR="00C00D96" w:rsidRPr="00AC7A85" w:rsidTr="00BE1A34">
        <w:trPr>
          <w:trHeight w:val="288"/>
        </w:trPr>
        <w:tc>
          <w:tcPr>
            <w:tcW w:w="1136" w:type="dxa"/>
            <w:tcBorders>
              <w:top w:val="nil"/>
              <w:left w:val="nil"/>
              <w:bottom w:val="single" w:sz="8" w:space="0" w:color="C0C0C0"/>
              <w:right w:val="nil"/>
            </w:tcBorders>
            <w:shd w:val="clear" w:color="auto" w:fill="auto"/>
            <w:vAlign w:val="center"/>
            <w:hideMark/>
          </w:tcPr>
          <w:p w:rsidR="00C00D96" w:rsidRPr="00AC7A85" w:rsidRDefault="00C00D96" w:rsidP="00634085">
            <w:pPr>
              <w:rPr>
                <w:rFonts w:ascii="Open Sans" w:hAnsi="Open Sans" w:cs="Calibri"/>
                <w:color w:val="333333"/>
                <w:sz w:val="20"/>
                <w:szCs w:val="20"/>
              </w:rPr>
            </w:pPr>
            <w:r w:rsidRPr="00AC7A85">
              <w:rPr>
                <w:rFonts w:ascii="Open Sans" w:hAnsi="Open Sans" w:cs="Calibri"/>
                <w:color w:val="333333"/>
                <w:sz w:val="20"/>
                <w:szCs w:val="20"/>
              </w:rPr>
              <w:t>002.</w:t>
            </w:r>
          </w:p>
        </w:tc>
        <w:tc>
          <w:tcPr>
            <w:tcW w:w="5793" w:type="dxa"/>
            <w:tcBorders>
              <w:top w:val="nil"/>
              <w:left w:val="nil"/>
              <w:bottom w:val="single" w:sz="8" w:space="0" w:color="C0C0C0"/>
              <w:right w:val="single" w:sz="4" w:space="0" w:color="auto"/>
            </w:tcBorders>
            <w:shd w:val="clear" w:color="auto" w:fill="auto"/>
            <w:vAlign w:val="center"/>
            <w:hideMark/>
          </w:tcPr>
          <w:p w:rsidR="00C00D96" w:rsidRPr="00AC7A85" w:rsidRDefault="00C00D96" w:rsidP="00634085">
            <w:pPr>
              <w:rPr>
                <w:rFonts w:ascii="Open Sans" w:hAnsi="Open Sans" w:cs="Calibri"/>
                <w:color w:val="333333"/>
                <w:sz w:val="20"/>
                <w:szCs w:val="20"/>
              </w:rPr>
            </w:pPr>
            <w:r w:rsidRPr="00AC7A85">
              <w:rPr>
                <w:rFonts w:ascii="Open Sans" w:hAnsi="Open Sans" w:cs="Calibri"/>
                <w:color w:val="333333"/>
                <w:sz w:val="20"/>
                <w:szCs w:val="20"/>
              </w:rPr>
              <w:t>Pár bočných líšt na drobné príslušenstvo</w:t>
            </w:r>
          </w:p>
        </w:tc>
        <w:tc>
          <w:tcPr>
            <w:tcW w:w="2317" w:type="dxa"/>
            <w:tcBorders>
              <w:top w:val="single" w:sz="4" w:space="0" w:color="auto"/>
              <w:left w:val="single" w:sz="4" w:space="0" w:color="auto"/>
              <w:bottom w:val="single" w:sz="4" w:space="0" w:color="auto"/>
              <w:right w:val="single" w:sz="4" w:space="0" w:color="auto"/>
            </w:tcBorders>
            <w:shd w:val="clear" w:color="auto" w:fill="FFF2CC"/>
            <w:noWrap/>
            <w:vAlign w:val="bottom"/>
          </w:tcPr>
          <w:p w:rsidR="00C00D96" w:rsidRDefault="00C00D96" w:rsidP="00634085">
            <w:pPr>
              <w:spacing w:line="276" w:lineRule="auto"/>
              <w:jc w:val="center"/>
              <w:rPr>
                <w:color w:val="000000"/>
                <w:sz w:val="20"/>
                <w:szCs w:val="20"/>
                <w:lang w:eastAsia="en-US"/>
              </w:rPr>
            </w:pPr>
            <w:r>
              <w:rPr>
                <w:color w:val="000000"/>
                <w:sz w:val="20"/>
                <w:szCs w:val="20"/>
                <w:lang w:eastAsia="en-US"/>
              </w:rPr>
              <w:t>65</w:t>
            </w:r>
          </w:p>
        </w:tc>
      </w:tr>
      <w:tr w:rsidR="00C00D96" w:rsidRPr="00AC7A85" w:rsidTr="00BE1A34">
        <w:trPr>
          <w:trHeight w:val="288"/>
        </w:trPr>
        <w:tc>
          <w:tcPr>
            <w:tcW w:w="1136" w:type="dxa"/>
            <w:tcBorders>
              <w:top w:val="nil"/>
              <w:left w:val="nil"/>
              <w:bottom w:val="single" w:sz="8" w:space="0" w:color="C0C0C0"/>
              <w:right w:val="nil"/>
            </w:tcBorders>
            <w:shd w:val="clear" w:color="000000" w:fill="FFFFFF"/>
            <w:vAlign w:val="center"/>
            <w:hideMark/>
          </w:tcPr>
          <w:p w:rsidR="00C00D96" w:rsidRPr="00AC7A85" w:rsidRDefault="00C00D96" w:rsidP="00634085">
            <w:pPr>
              <w:rPr>
                <w:rFonts w:ascii="Open Sans" w:hAnsi="Open Sans" w:cs="Calibri"/>
                <w:color w:val="333333"/>
                <w:sz w:val="20"/>
                <w:szCs w:val="20"/>
              </w:rPr>
            </w:pPr>
            <w:r w:rsidRPr="00AC7A85">
              <w:rPr>
                <w:rFonts w:ascii="Open Sans" w:hAnsi="Open Sans" w:cs="Calibri"/>
                <w:color w:val="333333"/>
                <w:sz w:val="20"/>
                <w:szCs w:val="20"/>
              </w:rPr>
              <w:t>003.</w:t>
            </w:r>
          </w:p>
        </w:tc>
        <w:tc>
          <w:tcPr>
            <w:tcW w:w="5793" w:type="dxa"/>
            <w:tcBorders>
              <w:top w:val="nil"/>
              <w:left w:val="nil"/>
              <w:bottom w:val="single" w:sz="8" w:space="0" w:color="C0C0C0"/>
              <w:right w:val="single" w:sz="4" w:space="0" w:color="auto"/>
            </w:tcBorders>
            <w:shd w:val="clear" w:color="000000" w:fill="FFFFFF"/>
            <w:vAlign w:val="center"/>
            <w:hideMark/>
          </w:tcPr>
          <w:p w:rsidR="00C00D96" w:rsidRPr="00AC7A85" w:rsidRDefault="00C00D96" w:rsidP="00634085">
            <w:pPr>
              <w:rPr>
                <w:rFonts w:ascii="Open Sans" w:hAnsi="Open Sans" w:cs="Calibri"/>
                <w:color w:val="333333"/>
                <w:sz w:val="20"/>
                <w:szCs w:val="20"/>
              </w:rPr>
            </w:pPr>
            <w:r w:rsidRPr="00AC7A85">
              <w:rPr>
                <w:rFonts w:ascii="Open Sans" w:hAnsi="Open Sans" w:cs="Calibri"/>
                <w:color w:val="333333"/>
                <w:sz w:val="20"/>
                <w:szCs w:val="20"/>
              </w:rPr>
              <w:t>Hrazda + hrazdička</w:t>
            </w:r>
          </w:p>
        </w:tc>
        <w:tc>
          <w:tcPr>
            <w:tcW w:w="2317" w:type="dxa"/>
            <w:tcBorders>
              <w:top w:val="single" w:sz="4" w:space="0" w:color="auto"/>
              <w:left w:val="single" w:sz="4" w:space="0" w:color="auto"/>
              <w:bottom w:val="single" w:sz="4" w:space="0" w:color="auto"/>
              <w:right w:val="single" w:sz="4" w:space="0" w:color="auto"/>
            </w:tcBorders>
            <w:shd w:val="clear" w:color="auto" w:fill="FFF2CC"/>
            <w:noWrap/>
            <w:vAlign w:val="bottom"/>
          </w:tcPr>
          <w:p w:rsidR="00C00D96" w:rsidRDefault="00C00D96" w:rsidP="00634085">
            <w:pPr>
              <w:spacing w:line="276" w:lineRule="auto"/>
              <w:jc w:val="center"/>
              <w:rPr>
                <w:color w:val="000000"/>
                <w:sz w:val="20"/>
                <w:szCs w:val="20"/>
                <w:lang w:eastAsia="en-US"/>
              </w:rPr>
            </w:pPr>
            <w:r>
              <w:rPr>
                <w:color w:val="000000"/>
                <w:sz w:val="20"/>
                <w:szCs w:val="20"/>
                <w:lang w:eastAsia="en-US"/>
              </w:rPr>
              <w:t>65</w:t>
            </w:r>
          </w:p>
        </w:tc>
      </w:tr>
      <w:tr w:rsidR="00C00D96" w:rsidRPr="00AC7A85" w:rsidTr="00BE1A34">
        <w:trPr>
          <w:trHeight w:val="288"/>
        </w:trPr>
        <w:tc>
          <w:tcPr>
            <w:tcW w:w="1136" w:type="dxa"/>
            <w:tcBorders>
              <w:top w:val="nil"/>
              <w:left w:val="nil"/>
              <w:bottom w:val="single" w:sz="8" w:space="0" w:color="C0C0C0"/>
              <w:right w:val="nil"/>
            </w:tcBorders>
            <w:shd w:val="clear" w:color="auto" w:fill="auto"/>
            <w:vAlign w:val="center"/>
            <w:hideMark/>
          </w:tcPr>
          <w:p w:rsidR="00C00D96" w:rsidRPr="00AC7A85" w:rsidRDefault="00C00D96" w:rsidP="00634085">
            <w:pPr>
              <w:rPr>
                <w:rFonts w:ascii="Open Sans" w:hAnsi="Open Sans" w:cs="Calibri"/>
                <w:color w:val="333333"/>
                <w:sz w:val="20"/>
                <w:szCs w:val="20"/>
              </w:rPr>
            </w:pPr>
            <w:r w:rsidRPr="00AC7A85">
              <w:rPr>
                <w:rFonts w:ascii="Open Sans" w:hAnsi="Open Sans" w:cs="Calibri"/>
                <w:color w:val="333333"/>
                <w:sz w:val="20"/>
                <w:szCs w:val="20"/>
              </w:rPr>
              <w:t>004.</w:t>
            </w:r>
          </w:p>
        </w:tc>
        <w:tc>
          <w:tcPr>
            <w:tcW w:w="5793" w:type="dxa"/>
            <w:tcBorders>
              <w:top w:val="nil"/>
              <w:left w:val="nil"/>
              <w:bottom w:val="single" w:sz="8" w:space="0" w:color="C0C0C0"/>
              <w:right w:val="single" w:sz="4" w:space="0" w:color="auto"/>
            </w:tcBorders>
            <w:shd w:val="clear" w:color="auto" w:fill="auto"/>
            <w:vAlign w:val="center"/>
            <w:hideMark/>
          </w:tcPr>
          <w:p w:rsidR="00C00D96" w:rsidRPr="00AC7A85" w:rsidRDefault="00C00D96" w:rsidP="00634085">
            <w:pPr>
              <w:rPr>
                <w:rFonts w:ascii="Open Sans" w:hAnsi="Open Sans" w:cs="Calibri"/>
                <w:color w:val="333333"/>
                <w:sz w:val="20"/>
                <w:szCs w:val="20"/>
              </w:rPr>
            </w:pPr>
            <w:r w:rsidRPr="00AC7A85">
              <w:rPr>
                <w:rFonts w:ascii="Open Sans" w:hAnsi="Open Sans" w:cs="Calibri"/>
                <w:color w:val="333333"/>
                <w:sz w:val="20"/>
                <w:szCs w:val="20"/>
              </w:rPr>
              <w:t>Infúzny stojan</w:t>
            </w:r>
          </w:p>
        </w:tc>
        <w:tc>
          <w:tcPr>
            <w:tcW w:w="2317" w:type="dxa"/>
            <w:tcBorders>
              <w:top w:val="single" w:sz="4" w:space="0" w:color="auto"/>
              <w:left w:val="single" w:sz="4" w:space="0" w:color="auto"/>
              <w:bottom w:val="single" w:sz="4" w:space="0" w:color="auto"/>
              <w:right w:val="single" w:sz="4" w:space="0" w:color="auto"/>
            </w:tcBorders>
            <w:shd w:val="clear" w:color="auto" w:fill="FFF2CC"/>
            <w:noWrap/>
            <w:vAlign w:val="bottom"/>
          </w:tcPr>
          <w:p w:rsidR="00C00D96" w:rsidRDefault="00C00D96" w:rsidP="00634085">
            <w:pPr>
              <w:spacing w:line="276" w:lineRule="auto"/>
              <w:jc w:val="center"/>
              <w:rPr>
                <w:color w:val="000000"/>
                <w:sz w:val="20"/>
                <w:szCs w:val="20"/>
                <w:lang w:eastAsia="en-US"/>
              </w:rPr>
            </w:pPr>
            <w:r>
              <w:rPr>
                <w:color w:val="000000"/>
                <w:sz w:val="20"/>
                <w:szCs w:val="20"/>
                <w:lang w:eastAsia="en-US"/>
              </w:rPr>
              <w:t>65</w:t>
            </w:r>
          </w:p>
        </w:tc>
      </w:tr>
      <w:tr w:rsidR="00C00D96" w:rsidRPr="00AC7A85" w:rsidTr="00BE1A34">
        <w:trPr>
          <w:trHeight w:val="288"/>
        </w:trPr>
        <w:tc>
          <w:tcPr>
            <w:tcW w:w="1136" w:type="dxa"/>
            <w:tcBorders>
              <w:top w:val="nil"/>
              <w:left w:val="nil"/>
              <w:bottom w:val="single" w:sz="8" w:space="0" w:color="C0C0C0"/>
              <w:right w:val="nil"/>
            </w:tcBorders>
            <w:shd w:val="clear" w:color="000000" w:fill="FFFFFF"/>
            <w:vAlign w:val="center"/>
            <w:hideMark/>
          </w:tcPr>
          <w:p w:rsidR="00C00D96" w:rsidRPr="00AC7A85" w:rsidRDefault="00C00D96" w:rsidP="00634085">
            <w:pPr>
              <w:rPr>
                <w:rFonts w:ascii="Open Sans" w:hAnsi="Open Sans" w:cs="Calibri"/>
                <w:color w:val="333333"/>
                <w:sz w:val="20"/>
                <w:szCs w:val="20"/>
              </w:rPr>
            </w:pPr>
            <w:r w:rsidRPr="00AC7A85">
              <w:rPr>
                <w:rFonts w:ascii="Open Sans" w:hAnsi="Open Sans" w:cs="Calibri"/>
                <w:color w:val="333333"/>
                <w:sz w:val="20"/>
                <w:szCs w:val="20"/>
              </w:rPr>
              <w:t>005.</w:t>
            </w:r>
          </w:p>
        </w:tc>
        <w:tc>
          <w:tcPr>
            <w:tcW w:w="5793" w:type="dxa"/>
            <w:tcBorders>
              <w:top w:val="nil"/>
              <w:left w:val="nil"/>
              <w:bottom w:val="single" w:sz="8" w:space="0" w:color="C0C0C0"/>
              <w:right w:val="single" w:sz="4" w:space="0" w:color="auto"/>
            </w:tcBorders>
            <w:shd w:val="clear" w:color="000000" w:fill="FFFFFF"/>
            <w:vAlign w:val="center"/>
            <w:hideMark/>
          </w:tcPr>
          <w:p w:rsidR="00C00D96" w:rsidRPr="00AC7A85" w:rsidRDefault="00C00D96" w:rsidP="00634085">
            <w:pPr>
              <w:rPr>
                <w:rFonts w:ascii="Open Sans" w:hAnsi="Open Sans" w:cs="Calibri"/>
                <w:color w:val="333333"/>
                <w:sz w:val="20"/>
                <w:szCs w:val="20"/>
              </w:rPr>
            </w:pPr>
            <w:r w:rsidRPr="00AC7A85">
              <w:rPr>
                <w:rFonts w:ascii="Open Sans" w:hAnsi="Open Sans" w:cs="Calibri"/>
                <w:color w:val="333333"/>
                <w:sz w:val="20"/>
                <w:szCs w:val="20"/>
              </w:rPr>
              <w:t xml:space="preserve">Držiak kyslíkovej </w:t>
            </w:r>
            <w:proofErr w:type="spellStart"/>
            <w:r w:rsidRPr="00AC7A85">
              <w:rPr>
                <w:rFonts w:ascii="Open Sans" w:hAnsi="Open Sans" w:cs="Calibri"/>
                <w:color w:val="333333"/>
                <w:sz w:val="20"/>
                <w:szCs w:val="20"/>
              </w:rPr>
              <w:t>flaše</w:t>
            </w:r>
            <w:proofErr w:type="spellEnd"/>
            <w:r w:rsidRPr="00AC7A85">
              <w:rPr>
                <w:rFonts w:ascii="Open Sans" w:hAnsi="Open Sans" w:cs="Calibri"/>
                <w:color w:val="333333"/>
                <w:sz w:val="20"/>
                <w:szCs w:val="20"/>
              </w:rPr>
              <w:t xml:space="preserve"> (3 l alebo 5 l)</w:t>
            </w:r>
          </w:p>
        </w:tc>
        <w:tc>
          <w:tcPr>
            <w:tcW w:w="2317" w:type="dxa"/>
            <w:tcBorders>
              <w:top w:val="single" w:sz="4" w:space="0" w:color="auto"/>
              <w:left w:val="single" w:sz="4" w:space="0" w:color="auto"/>
              <w:bottom w:val="single" w:sz="4" w:space="0" w:color="auto"/>
              <w:right w:val="single" w:sz="4" w:space="0" w:color="auto"/>
            </w:tcBorders>
            <w:shd w:val="clear" w:color="auto" w:fill="FFF2CC"/>
            <w:noWrap/>
            <w:vAlign w:val="bottom"/>
          </w:tcPr>
          <w:p w:rsidR="00C00D96" w:rsidRDefault="00C00D96" w:rsidP="00634085">
            <w:pPr>
              <w:spacing w:line="276" w:lineRule="auto"/>
              <w:jc w:val="center"/>
              <w:rPr>
                <w:color w:val="000000"/>
                <w:sz w:val="20"/>
                <w:szCs w:val="20"/>
                <w:lang w:eastAsia="en-US"/>
              </w:rPr>
            </w:pPr>
          </w:p>
        </w:tc>
      </w:tr>
      <w:tr w:rsidR="00C00D96" w:rsidRPr="00AC7A85" w:rsidTr="00BE1A34">
        <w:trPr>
          <w:trHeight w:val="288"/>
        </w:trPr>
        <w:tc>
          <w:tcPr>
            <w:tcW w:w="1136" w:type="dxa"/>
            <w:tcBorders>
              <w:top w:val="nil"/>
              <w:left w:val="nil"/>
              <w:bottom w:val="single" w:sz="8" w:space="0" w:color="C0C0C0"/>
              <w:right w:val="nil"/>
            </w:tcBorders>
            <w:shd w:val="clear" w:color="auto" w:fill="auto"/>
            <w:vAlign w:val="center"/>
            <w:hideMark/>
          </w:tcPr>
          <w:p w:rsidR="00C00D96" w:rsidRPr="00AC7A85" w:rsidRDefault="00C00D96" w:rsidP="00634085">
            <w:pPr>
              <w:rPr>
                <w:rFonts w:ascii="Open Sans" w:hAnsi="Open Sans" w:cs="Calibri"/>
                <w:color w:val="333333"/>
                <w:sz w:val="20"/>
                <w:szCs w:val="20"/>
              </w:rPr>
            </w:pPr>
            <w:r w:rsidRPr="00AC7A85">
              <w:rPr>
                <w:rFonts w:ascii="Open Sans" w:hAnsi="Open Sans" w:cs="Calibri"/>
                <w:color w:val="333333"/>
                <w:sz w:val="20"/>
                <w:szCs w:val="20"/>
              </w:rPr>
              <w:t>006.</w:t>
            </w:r>
          </w:p>
        </w:tc>
        <w:tc>
          <w:tcPr>
            <w:tcW w:w="5793" w:type="dxa"/>
            <w:tcBorders>
              <w:top w:val="nil"/>
              <w:left w:val="nil"/>
              <w:bottom w:val="single" w:sz="8" w:space="0" w:color="C0C0C0"/>
              <w:right w:val="single" w:sz="4" w:space="0" w:color="auto"/>
            </w:tcBorders>
            <w:shd w:val="clear" w:color="auto" w:fill="auto"/>
            <w:vAlign w:val="center"/>
            <w:hideMark/>
          </w:tcPr>
          <w:p w:rsidR="00C00D96" w:rsidRPr="00AC7A85" w:rsidRDefault="00C00D96" w:rsidP="00634085">
            <w:pPr>
              <w:rPr>
                <w:rFonts w:ascii="Open Sans" w:hAnsi="Open Sans" w:cs="Calibri"/>
                <w:color w:val="333333"/>
                <w:sz w:val="20"/>
                <w:szCs w:val="20"/>
              </w:rPr>
            </w:pPr>
            <w:r w:rsidRPr="00AC7A85">
              <w:rPr>
                <w:rFonts w:ascii="Open Sans" w:hAnsi="Open Sans" w:cs="Calibri"/>
                <w:color w:val="333333"/>
                <w:sz w:val="20"/>
                <w:szCs w:val="20"/>
              </w:rPr>
              <w:t>Držiak infúznych púmp</w:t>
            </w:r>
          </w:p>
        </w:tc>
        <w:tc>
          <w:tcPr>
            <w:tcW w:w="2317" w:type="dxa"/>
            <w:tcBorders>
              <w:top w:val="single" w:sz="4" w:space="0" w:color="auto"/>
              <w:left w:val="single" w:sz="4" w:space="0" w:color="auto"/>
              <w:bottom w:val="single" w:sz="4" w:space="0" w:color="auto"/>
              <w:right w:val="single" w:sz="4" w:space="0" w:color="auto"/>
            </w:tcBorders>
            <w:shd w:val="clear" w:color="auto" w:fill="FFF2CC"/>
            <w:noWrap/>
            <w:vAlign w:val="bottom"/>
          </w:tcPr>
          <w:p w:rsidR="00C00D96" w:rsidRDefault="00C00D96" w:rsidP="00634085">
            <w:pPr>
              <w:spacing w:line="276" w:lineRule="auto"/>
              <w:jc w:val="center"/>
              <w:rPr>
                <w:color w:val="000000"/>
                <w:sz w:val="20"/>
                <w:szCs w:val="20"/>
                <w:lang w:eastAsia="en-US"/>
              </w:rPr>
            </w:pPr>
            <w:r>
              <w:rPr>
                <w:color w:val="000000"/>
                <w:sz w:val="20"/>
                <w:szCs w:val="20"/>
                <w:lang w:eastAsia="en-US"/>
              </w:rPr>
              <w:t>30</w:t>
            </w:r>
          </w:p>
        </w:tc>
      </w:tr>
      <w:tr w:rsidR="00C00D96" w:rsidRPr="00AC7A85" w:rsidTr="00BE1A34">
        <w:trPr>
          <w:trHeight w:val="639"/>
        </w:trPr>
        <w:tc>
          <w:tcPr>
            <w:tcW w:w="1136" w:type="dxa"/>
            <w:tcBorders>
              <w:top w:val="nil"/>
              <w:left w:val="nil"/>
              <w:bottom w:val="single" w:sz="8" w:space="0" w:color="C0C0C0"/>
              <w:right w:val="nil"/>
            </w:tcBorders>
            <w:shd w:val="clear" w:color="000000" w:fill="FFFFFF"/>
            <w:vAlign w:val="center"/>
            <w:hideMark/>
          </w:tcPr>
          <w:p w:rsidR="00C00D96" w:rsidRPr="00AC7A85" w:rsidRDefault="00C00D96" w:rsidP="00634085">
            <w:pPr>
              <w:rPr>
                <w:rFonts w:ascii="Open Sans" w:hAnsi="Open Sans" w:cs="Calibri"/>
                <w:color w:val="333333"/>
                <w:sz w:val="20"/>
                <w:szCs w:val="20"/>
              </w:rPr>
            </w:pPr>
            <w:r w:rsidRPr="00AC7A85">
              <w:rPr>
                <w:rFonts w:ascii="Open Sans" w:hAnsi="Open Sans" w:cs="Calibri"/>
                <w:color w:val="333333"/>
                <w:sz w:val="20"/>
                <w:szCs w:val="20"/>
              </w:rPr>
              <w:t>007.</w:t>
            </w:r>
          </w:p>
        </w:tc>
        <w:tc>
          <w:tcPr>
            <w:tcW w:w="5793" w:type="dxa"/>
            <w:tcBorders>
              <w:top w:val="nil"/>
              <w:left w:val="nil"/>
              <w:bottom w:val="single" w:sz="8" w:space="0" w:color="C0C0C0"/>
              <w:right w:val="single" w:sz="4" w:space="0" w:color="auto"/>
            </w:tcBorders>
            <w:shd w:val="clear" w:color="000000" w:fill="FFFFFF"/>
            <w:vAlign w:val="center"/>
            <w:hideMark/>
          </w:tcPr>
          <w:p w:rsidR="00C00D96" w:rsidRPr="00AC7A85" w:rsidRDefault="00C00D96" w:rsidP="00634085">
            <w:pPr>
              <w:rPr>
                <w:rFonts w:ascii="Open Sans" w:hAnsi="Open Sans" w:cs="Calibri"/>
                <w:color w:val="333333"/>
                <w:sz w:val="20"/>
                <w:szCs w:val="20"/>
              </w:rPr>
            </w:pPr>
            <w:r w:rsidRPr="00AC7A85">
              <w:rPr>
                <w:rFonts w:ascii="Open Sans" w:hAnsi="Open Sans" w:cs="Calibri"/>
                <w:color w:val="333333"/>
                <w:sz w:val="20"/>
                <w:szCs w:val="20"/>
              </w:rPr>
              <w:t xml:space="preserve">Farebné </w:t>
            </w:r>
            <w:proofErr w:type="spellStart"/>
            <w:r w:rsidRPr="00AC7A85">
              <w:rPr>
                <w:rFonts w:ascii="Open Sans" w:hAnsi="Open Sans" w:cs="Calibri"/>
                <w:color w:val="333333"/>
                <w:sz w:val="20"/>
                <w:szCs w:val="20"/>
              </w:rPr>
              <w:t>dekory</w:t>
            </w:r>
            <w:proofErr w:type="spellEnd"/>
            <w:r w:rsidRPr="00AC7A85">
              <w:rPr>
                <w:rFonts w:ascii="Open Sans" w:hAnsi="Open Sans" w:cs="Calibri"/>
                <w:color w:val="333333"/>
                <w:sz w:val="20"/>
                <w:szCs w:val="20"/>
              </w:rPr>
              <w:t xml:space="preserve"> lôžka (</w:t>
            </w:r>
            <w:proofErr w:type="spellStart"/>
            <w:r w:rsidRPr="00AC7A85">
              <w:rPr>
                <w:rFonts w:ascii="Open Sans" w:hAnsi="Open Sans" w:cs="Calibri"/>
                <w:color w:val="333333"/>
                <w:sz w:val="20"/>
                <w:szCs w:val="20"/>
              </w:rPr>
              <w:t>postranice</w:t>
            </w:r>
            <w:proofErr w:type="spellEnd"/>
            <w:r w:rsidRPr="00AC7A85">
              <w:rPr>
                <w:rFonts w:ascii="Open Sans" w:hAnsi="Open Sans" w:cs="Calibri"/>
                <w:color w:val="333333"/>
                <w:sz w:val="20"/>
                <w:szCs w:val="20"/>
              </w:rPr>
              <w:t xml:space="preserve"> a čelá)</w:t>
            </w:r>
          </w:p>
        </w:tc>
        <w:tc>
          <w:tcPr>
            <w:tcW w:w="2317" w:type="dxa"/>
            <w:tcBorders>
              <w:top w:val="single" w:sz="4" w:space="0" w:color="auto"/>
              <w:left w:val="single" w:sz="4" w:space="0" w:color="auto"/>
              <w:bottom w:val="single" w:sz="4" w:space="0" w:color="auto"/>
              <w:right w:val="single" w:sz="4" w:space="0" w:color="auto"/>
            </w:tcBorders>
            <w:shd w:val="clear" w:color="auto" w:fill="FFF2CC"/>
            <w:vAlign w:val="bottom"/>
          </w:tcPr>
          <w:p w:rsidR="00C00D96" w:rsidRDefault="00C00D96" w:rsidP="00634085">
            <w:pPr>
              <w:spacing w:line="276" w:lineRule="auto"/>
              <w:jc w:val="center"/>
              <w:rPr>
                <w:color w:val="333333"/>
                <w:sz w:val="20"/>
                <w:szCs w:val="20"/>
                <w:lang w:eastAsia="en-US"/>
              </w:rPr>
            </w:pPr>
            <w:r>
              <w:rPr>
                <w:color w:val="333333"/>
                <w:sz w:val="20"/>
                <w:szCs w:val="20"/>
                <w:lang w:eastAsia="en-US"/>
              </w:rPr>
              <w:t xml:space="preserve">B048 - 100ks, T106 - 100ks, F053 - 65ks, </w:t>
            </w:r>
            <w:proofErr w:type="spellStart"/>
            <w:r>
              <w:rPr>
                <w:color w:val="333333"/>
                <w:sz w:val="20"/>
                <w:szCs w:val="20"/>
                <w:lang w:eastAsia="en-US"/>
              </w:rPr>
              <w:t>Blue</w:t>
            </w:r>
            <w:proofErr w:type="spellEnd"/>
            <w:r>
              <w:rPr>
                <w:color w:val="333333"/>
                <w:sz w:val="20"/>
                <w:szCs w:val="20"/>
                <w:lang w:eastAsia="en-US"/>
              </w:rPr>
              <w:t xml:space="preserve"> - 100ks, </w:t>
            </w:r>
            <w:proofErr w:type="spellStart"/>
            <w:r>
              <w:rPr>
                <w:color w:val="333333"/>
                <w:sz w:val="20"/>
                <w:szCs w:val="20"/>
                <w:lang w:eastAsia="en-US"/>
              </w:rPr>
              <w:t>Peach</w:t>
            </w:r>
            <w:proofErr w:type="spellEnd"/>
            <w:r>
              <w:rPr>
                <w:color w:val="333333"/>
                <w:sz w:val="20"/>
                <w:szCs w:val="20"/>
                <w:lang w:eastAsia="en-US"/>
              </w:rPr>
              <w:t xml:space="preserve"> - 100ks, </w:t>
            </w:r>
            <w:proofErr w:type="spellStart"/>
            <w:r>
              <w:rPr>
                <w:color w:val="333333"/>
                <w:sz w:val="20"/>
                <w:szCs w:val="20"/>
                <w:lang w:eastAsia="en-US"/>
              </w:rPr>
              <w:t>Green</w:t>
            </w:r>
            <w:proofErr w:type="spellEnd"/>
            <w:r>
              <w:rPr>
                <w:color w:val="333333"/>
                <w:sz w:val="20"/>
                <w:szCs w:val="20"/>
                <w:lang w:eastAsia="en-US"/>
              </w:rPr>
              <w:t xml:space="preserve"> - 65ks</w:t>
            </w:r>
          </w:p>
        </w:tc>
      </w:tr>
      <w:tr w:rsidR="00C00D96" w:rsidRPr="00AC7A85" w:rsidTr="00BE1A34">
        <w:trPr>
          <w:trHeight w:val="288"/>
        </w:trPr>
        <w:tc>
          <w:tcPr>
            <w:tcW w:w="1136" w:type="dxa"/>
            <w:tcBorders>
              <w:top w:val="nil"/>
              <w:left w:val="nil"/>
              <w:bottom w:val="single" w:sz="8" w:space="0" w:color="C0C0C0"/>
              <w:right w:val="nil"/>
            </w:tcBorders>
            <w:shd w:val="clear" w:color="auto" w:fill="auto"/>
            <w:vAlign w:val="center"/>
            <w:hideMark/>
          </w:tcPr>
          <w:p w:rsidR="00C00D96" w:rsidRPr="00AC7A85" w:rsidRDefault="00C00D96" w:rsidP="00634085">
            <w:pPr>
              <w:rPr>
                <w:rFonts w:ascii="Open Sans" w:hAnsi="Open Sans" w:cs="Calibri"/>
                <w:color w:val="333333"/>
                <w:sz w:val="20"/>
                <w:szCs w:val="20"/>
              </w:rPr>
            </w:pPr>
            <w:r w:rsidRPr="00AC7A85">
              <w:rPr>
                <w:rFonts w:ascii="Open Sans" w:hAnsi="Open Sans" w:cs="Calibri"/>
                <w:color w:val="333333"/>
                <w:sz w:val="20"/>
                <w:szCs w:val="20"/>
              </w:rPr>
              <w:t>008.</w:t>
            </w:r>
          </w:p>
        </w:tc>
        <w:tc>
          <w:tcPr>
            <w:tcW w:w="5793" w:type="dxa"/>
            <w:tcBorders>
              <w:top w:val="nil"/>
              <w:left w:val="nil"/>
              <w:bottom w:val="single" w:sz="8" w:space="0" w:color="C0C0C0"/>
              <w:right w:val="single" w:sz="4" w:space="0" w:color="auto"/>
            </w:tcBorders>
            <w:shd w:val="clear" w:color="auto" w:fill="auto"/>
            <w:vAlign w:val="center"/>
            <w:hideMark/>
          </w:tcPr>
          <w:p w:rsidR="00C00D96" w:rsidRPr="00AC7A85" w:rsidRDefault="00C00D96" w:rsidP="00634085">
            <w:pPr>
              <w:rPr>
                <w:rFonts w:ascii="Open Sans" w:hAnsi="Open Sans" w:cs="Calibri"/>
                <w:color w:val="333333"/>
                <w:sz w:val="20"/>
                <w:szCs w:val="20"/>
              </w:rPr>
            </w:pPr>
            <w:r w:rsidRPr="00AC7A85">
              <w:rPr>
                <w:rFonts w:ascii="Open Sans" w:hAnsi="Open Sans" w:cs="Calibri"/>
                <w:color w:val="333333"/>
                <w:sz w:val="20"/>
                <w:szCs w:val="20"/>
              </w:rPr>
              <w:t>Matrac 1</w:t>
            </w:r>
          </w:p>
        </w:tc>
        <w:tc>
          <w:tcPr>
            <w:tcW w:w="2317" w:type="dxa"/>
            <w:tcBorders>
              <w:top w:val="single" w:sz="4" w:space="0" w:color="auto"/>
              <w:left w:val="single" w:sz="4" w:space="0" w:color="auto"/>
              <w:bottom w:val="single" w:sz="4" w:space="0" w:color="auto"/>
              <w:right w:val="single" w:sz="4" w:space="0" w:color="auto"/>
            </w:tcBorders>
            <w:shd w:val="clear" w:color="auto" w:fill="FFF2CC"/>
            <w:noWrap/>
            <w:vAlign w:val="bottom"/>
          </w:tcPr>
          <w:p w:rsidR="00C00D96" w:rsidRDefault="00C00D96" w:rsidP="00634085">
            <w:pPr>
              <w:spacing w:line="276" w:lineRule="auto"/>
              <w:jc w:val="center"/>
              <w:rPr>
                <w:color w:val="000000"/>
                <w:sz w:val="20"/>
                <w:szCs w:val="20"/>
                <w:lang w:eastAsia="en-US"/>
              </w:rPr>
            </w:pPr>
          </w:p>
        </w:tc>
      </w:tr>
      <w:tr w:rsidR="00C00D96" w:rsidRPr="00AC7A85" w:rsidTr="00BE1A34">
        <w:trPr>
          <w:trHeight w:val="288"/>
        </w:trPr>
        <w:tc>
          <w:tcPr>
            <w:tcW w:w="1136" w:type="dxa"/>
            <w:tcBorders>
              <w:top w:val="nil"/>
              <w:left w:val="nil"/>
              <w:bottom w:val="single" w:sz="8" w:space="0" w:color="C0C0C0"/>
              <w:right w:val="nil"/>
            </w:tcBorders>
            <w:shd w:val="clear" w:color="000000" w:fill="FFFFFF"/>
            <w:vAlign w:val="center"/>
            <w:hideMark/>
          </w:tcPr>
          <w:p w:rsidR="00C00D96" w:rsidRPr="00AC7A85" w:rsidRDefault="00C00D96" w:rsidP="00634085">
            <w:pPr>
              <w:rPr>
                <w:rFonts w:ascii="Open Sans" w:hAnsi="Open Sans" w:cs="Calibri"/>
                <w:color w:val="333333"/>
                <w:sz w:val="20"/>
                <w:szCs w:val="20"/>
              </w:rPr>
            </w:pPr>
            <w:r w:rsidRPr="00AC7A85">
              <w:rPr>
                <w:rFonts w:ascii="Open Sans" w:hAnsi="Open Sans" w:cs="Calibri"/>
                <w:color w:val="333333"/>
                <w:sz w:val="20"/>
                <w:szCs w:val="20"/>
              </w:rPr>
              <w:t>009.</w:t>
            </w:r>
          </w:p>
        </w:tc>
        <w:tc>
          <w:tcPr>
            <w:tcW w:w="5793" w:type="dxa"/>
            <w:tcBorders>
              <w:top w:val="nil"/>
              <w:left w:val="nil"/>
              <w:bottom w:val="single" w:sz="8" w:space="0" w:color="C0C0C0"/>
              <w:right w:val="single" w:sz="4" w:space="0" w:color="auto"/>
            </w:tcBorders>
            <w:shd w:val="clear" w:color="000000" w:fill="FFFFFF"/>
            <w:vAlign w:val="center"/>
            <w:hideMark/>
          </w:tcPr>
          <w:p w:rsidR="00C00D96" w:rsidRPr="00AC7A85" w:rsidRDefault="00C00D96" w:rsidP="00634085">
            <w:pPr>
              <w:rPr>
                <w:rFonts w:ascii="Open Sans" w:hAnsi="Open Sans" w:cs="Calibri"/>
                <w:color w:val="333333"/>
                <w:sz w:val="20"/>
                <w:szCs w:val="20"/>
              </w:rPr>
            </w:pPr>
            <w:r w:rsidRPr="00AC7A85">
              <w:rPr>
                <w:rFonts w:ascii="Open Sans" w:hAnsi="Open Sans" w:cs="Calibri"/>
                <w:color w:val="333333"/>
                <w:sz w:val="20"/>
                <w:szCs w:val="20"/>
              </w:rPr>
              <w:t>Matrac 2</w:t>
            </w:r>
          </w:p>
        </w:tc>
        <w:tc>
          <w:tcPr>
            <w:tcW w:w="2317" w:type="dxa"/>
            <w:tcBorders>
              <w:top w:val="single" w:sz="4" w:space="0" w:color="auto"/>
              <w:left w:val="single" w:sz="4" w:space="0" w:color="auto"/>
              <w:bottom w:val="single" w:sz="4" w:space="0" w:color="auto"/>
              <w:right w:val="single" w:sz="4" w:space="0" w:color="auto"/>
            </w:tcBorders>
            <w:shd w:val="clear" w:color="auto" w:fill="FFF2CC"/>
            <w:noWrap/>
            <w:vAlign w:val="bottom"/>
          </w:tcPr>
          <w:p w:rsidR="00C00D96" w:rsidRDefault="00C00D96" w:rsidP="00634085">
            <w:pPr>
              <w:spacing w:line="276" w:lineRule="auto"/>
              <w:jc w:val="center"/>
              <w:rPr>
                <w:color w:val="000000"/>
                <w:sz w:val="20"/>
                <w:szCs w:val="20"/>
                <w:lang w:eastAsia="en-US"/>
              </w:rPr>
            </w:pPr>
            <w:r>
              <w:rPr>
                <w:color w:val="000000"/>
                <w:sz w:val="20"/>
                <w:szCs w:val="20"/>
                <w:lang w:eastAsia="en-US"/>
              </w:rPr>
              <w:t>65</w:t>
            </w:r>
          </w:p>
        </w:tc>
      </w:tr>
      <w:tr w:rsidR="00C00D96" w:rsidRPr="00AC7A85" w:rsidTr="00BE1A34">
        <w:trPr>
          <w:trHeight w:val="288"/>
        </w:trPr>
        <w:tc>
          <w:tcPr>
            <w:tcW w:w="1136" w:type="dxa"/>
            <w:tcBorders>
              <w:top w:val="nil"/>
              <w:left w:val="nil"/>
              <w:bottom w:val="single" w:sz="8" w:space="0" w:color="C0C0C0"/>
              <w:right w:val="nil"/>
            </w:tcBorders>
            <w:shd w:val="clear" w:color="auto" w:fill="auto"/>
            <w:vAlign w:val="center"/>
            <w:hideMark/>
          </w:tcPr>
          <w:p w:rsidR="00C00D96" w:rsidRPr="00AC7A85" w:rsidRDefault="00C00D96" w:rsidP="00634085">
            <w:pPr>
              <w:rPr>
                <w:rFonts w:ascii="Open Sans" w:hAnsi="Open Sans" w:cs="Calibri"/>
                <w:color w:val="333333"/>
                <w:sz w:val="20"/>
                <w:szCs w:val="20"/>
              </w:rPr>
            </w:pPr>
            <w:r w:rsidRPr="00AC7A85">
              <w:rPr>
                <w:rFonts w:ascii="Open Sans" w:hAnsi="Open Sans" w:cs="Calibri"/>
                <w:color w:val="333333"/>
                <w:sz w:val="20"/>
                <w:szCs w:val="20"/>
              </w:rPr>
              <w:t>010.</w:t>
            </w:r>
          </w:p>
        </w:tc>
        <w:tc>
          <w:tcPr>
            <w:tcW w:w="5793" w:type="dxa"/>
            <w:tcBorders>
              <w:top w:val="nil"/>
              <w:left w:val="nil"/>
              <w:bottom w:val="single" w:sz="8" w:space="0" w:color="C0C0C0"/>
              <w:right w:val="single" w:sz="4" w:space="0" w:color="auto"/>
            </w:tcBorders>
            <w:shd w:val="clear" w:color="auto" w:fill="auto"/>
            <w:vAlign w:val="center"/>
            <w:hideMark/>
          </w:tcPr>
          <w:p w:rsidR="00C00D96" w:rsidRPr="00AC7A85" w:rsidRDefault="00C00D96" w:rsidP="00634085">
            <w:pPr>
              <w:rPr>
                <w:rFonts w:ascii="Open Sans" w:hAnsi="Open Sans" w:cs="Calibri"/>
                <w:color w:val="333333"/>
                <w:sz w:val="20"/>
                <w:szCs w:val="20"/>
              </w:rPr>
            </w:pPr>
            <w:r w:rsidRPr="00AC7A85">
              <w:rPr>
                <w:rFonts w:ascii="Open Sans" w:hAnsi="Open Sans" w:cs="Calibri"/>
                <w:color w:val="333333"/>
                <w:sz w:val="20"/>
                <w:szCs w:val="20"/>
              </w:rPr>
              <w:t>Matrac 3</w:t>
            </w:r>
          </w:p>
        </w:tc>
        <w:tc>
          <w:tcPr>
            <w:tcW w:w="2317" w:type="dxa"/>
            <w:tcBorders>
              <w:top w:val="single" w:sz="4" w:space="0" w:color="auto"/>
              <w:left w:val="single" w:sz="4" w:space="0" w:color="auto"/>
              <w:bottom w:val="single" w:sz="4" w:space="0" w:color="auto"/>
              <w:right w:val="single" w:sz="4" w:space="0" w:color="auto"/>
            </w:tcBorders>
            <w:shd w:val="clear" w:color="auto" w:fill="FFF2CC"/>
            <w:noWrap/>
            <w:vAlign w:val="bottom"/>
          </w:tcPr>
          <w:p w:rsidR="00C00D96" w:rsidRDefault="00C00D96" w:rsidP="00634085">
            <w:pPr>
              <w:spacing w:line="276" w:lineRule="auto"/>
              <w:jc w:val="center"/>
              <w:rPr>
                <w:color w:val="000000"/>
                <w:sz w:val="20"/>
                <w:szCs w:val="20"/>
                <w:lang w:eastAsia="en-US"/>
              </w:rPr>
            </w:pPr>
            <w:r>
              <w:rPr>
                <w:color w:val="000000"/>
                <w:sz w:val="20"/>
                <w:szCs w:val="20"/>
                <w:lang w:eastAsia="en-US"/>
              </w:rPr>
              <w:t>15</w:t>
            </w:r>
          </w:p>
        </w:tc>
      </w:tr>
    </w:tbl>
    <w:p w:rsidR="00305CA2" w:rsidRDefault="00305CA2" w:rsidP="00105158">
      <w:pPr>
        <w:rPr>
          <w:b/>
          <w:bCs/>
          <w:iCs/>
        </w:rPr>
      </w:pPr>
    </w:p>
    <w:p w:rsidR="00C00D96" w:rsidRDefault="00C00D96" w:rsidP="00105158">
      <w:pPr>
        <w:rPr>
          <w:b/>
          <w:bCs/>
          <w:iCs/>
        </w:rPr>
      </w:pP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8"/>
        <w:gridCol w:w="3445"/>
        <w:gridCol w:w="4695"/>
      </w:tblGrid>
      <w:tr w:rsidR="00105158" w:rsidRPr="00225422" w:rsidTr="00595736">
        <w:trPr>
          <w:trHeight w:val="312"/>
        </w:trPr>
        <w:tc>
          <w:tcPr>
            <w:tcW w:w="1098" w:type="dxa"/>
            <w:vAlign w:val="center"/>
          </w:tcPr>
          <w:p w:rsidR="00105158" w:rsidRPr="00D26106" w:rsidRDefault="00105158" w:rsidP="00105158">
            <w:pPr>
              <w:ind w:left="284" w:hanging="284"/>
              <w:jc w:val="center"/>
              <w:rPr>
                <w:rFonts w:asciiTheme="minorHAnsi" w:hAnsiTheme="minorHAnsi" w:cstheme="minorHAnsi"/>
                <w:b/>
                <w:bCs/>
                <w:sz w:val="22"/>
                <w:szCs w:val="22"/>
              </w:rPr>
            </w:pPr>
            <w:proofErr w:type="spellStart"/>
            <w:r w:rsidRPr="00D26106">
              <w:rPr>
                <w:rFonts w:asciiTheme="minorHAnsi" w:hAnsiTheme="minorHAnsi" w:cstheme="minorHAnsi"/>
                <w:b/>
                <w:bCs/>
                <w:sz w:val="22"/>
                <w:szCs w:val="22"/>
              </w:rPr>
              <w:t>P.č</w:t>
            </w:r>
            <w:proofErr w:type="spellEnd"/>
            <w:r w:rsidRPr="00D26106">
              <w:rPr>
                <w:rFonts w:asciiTheme="minorHAnsi" w:hAnsiTheme="minorHAnsi" w:cstheme="minorHAnsi"/>
                <w:b/>
                <w:bCs/>
                <w:sz w:val="22"/>
                <w:szCs w:val="22"/>
              </w:rPr>
              <w:t>.</w:t>
            </w:r>
          </w:p>
        </w:tc>
        <w:tc>
          <w:tcPr>
            <w:tcW w:w="3445" w:type="dxa"/>
            <w:vAlign w:val="center"/>
          </w:tcPr>
          <w:p w:rsidR="00105158" w:rsidRPr="00D26106" w:rsidRDefault="00105158" w:rsidP="00105158">
            <w:pPr>
              <w:ind w:left="284" w:hanging="284"/>
              <w:jc w:val="center"/>
              <w:rPr>
                <w:rFonts w:asciiTheme="minorHAnsi" w:hAnsiTheme="minorHAnsi" w:cstheme="minorHAnsi"/>
                <w:b/>
                <w:bCs/>
                <w:sz w:val="22"/>
                <w:szCs w:val="22"/>
              </w:rPr>
            </w:pPr>
            <w:r w:rsidRPr="00D26106">
              <w:rPr>
                <w:rFonts w:asciiTheme="minorHAnsi" w:hAnsiTheme="minorHAnsi" w:cstheme="minorHAnsi"/>
                <w:b/>
                <w:bCs/>
                <w:sz w:val="22"/>
                <w:szCs w:val="22"/>
              </w:rPr>
              <w:t>UCHÁDZAČ</w:t>
            </w:r>
          </w:p>
        </w:tc>
        <w:tc>
          <w:tcPr>
            <w:tcW w:w="4695" w:type="dxa"/>
            <w:vAlign w:val="center"/>
          </w:tcPr>
          <w:p w:rsidR="00105158" w:rsidRPr="00D26106" w:rsidRDefault="006733E8" w:rsidP="006733E8">
            <w:pPr>
              <w:ind w:left="284" w:hanging="284"/>
              <w:jc w:val="center"/>
              <w:rPr>
                <w:rFonts w:asciiTheme="minorHAnsi" w:hAnsiTheme="minorHAnsi" w:cstheme="minorHAnsi"/>
                <w:b/>
                <w:bCs/>
                <w:sz w:val="22"/>
                <w:szCs w:val="22"/>
              </w:rPr>
            </w:pPr>
            <w:r w:rsidRPr="00D26106">
              <w:rPr>
                <w:rFonts w:asciiTheme="minorHAnsi" w:hAnsiTheme="minorHAnsi" w:cstheme="minorHAnsi"/>
                <w:b/>
                <w:bCs/>
                <w:sz w:val="22"/>
                <w:szCs w:val="22"/>
              </w:rPr>
              <w:t>Ponuka</w:t>
            </w:r>
            <w:r w:rsidR="00105158" w:rsidRPr="00D26106">
              <w:rPr>
                <w:rFonts w:asciiTheme="minorHAnsi" w:hAnsiTheme="minorHAnsi" w:cstheme="minorHAnsi"/>
                <w:b/>
                <w:bCs/>
                <w:sz w:val="22"/>
                <w:szCs w:val="22"/>
              </w:rPr>
              <w:t xml:space="preserve"> uchádzača</w:t>
            </w:r>
          </w:p>
        </w:tc>
      </w:tr>
      <w:tr w:rsidR="00105158" w:rsidRPr="00225422" w:rsidTr="00595736">
        <w:trPr>
          <w:trHeight w:val="312"/>
        </w:trPr>
        <w:tc>
          <w:tcPr>
            <w:tcW w:w="1098" w:type="dxa"/>
            <w:vAlign w:val="center"/>
          </w:tcPr>
          <w:p w:rsidR="00105158" w:rsidRPr="00D26106" w:rsidRDefault="00105158" w:rsidP="00105158">
            <w:pPr>
              <w:ind w:left="284" w:hanging="284"/>
              <w:jc w:val="both"/>
              <w:rPr>
                <w:rFonts w:asciiTheme="minorHAnsi" w:hAnsiTheme="minorHAnsi" w:cstheme="minorHAnsi"/>
                <w:b/>
                <w:sz w:val="22"/>
                <w:szCs w:val="22"/>
              </w:rPr>
            </w:pPr>
            <w:r w:rsidRPr="00D26106">
              <w:rPr>
                <w:rFonts w:asciiTheme="minorHAnsi" w:hAnsiTheme="minorHAnsi" w:cstheme="minorHAnsi"/>
                <w:b/>
                <w:sz w:val="22"/>
                <w:szCs w:val="22"/>
              </w:rPr>
              <w:t>1</w:t>
            </w:r>
          </w:p>
        </w:tc>
        <w:tc>
          <w:tcPr>
            <w:tcW w:w="3445" w:type="dxa"/>
            <w:vAlign w:val="center"/>
          </w:tcPr>
          <w:p w:rsidR="00105158" w:rsidRPr="00610734" w:rsidRDefault="00C00D96" w:rsidP="00105158">
            <w:pPr>
              <w:jc w:val="center"/>
              <w:rPr>
                <w:rFonts w:asciiTheme="minorHAnsi" w:hAnsiTheme="minorHAnsi" w:cstheme="minorHAnsi"/>
                <w:sz w:val="22"/>
                <w:szCs w:val="22"/>
              </w:rPr>
            </w:pPr>
            <w:r>
              <w:rPr>
                <w:color w:val="000000"/>
                <w:sz w:val="22"/>
                <w:szCs w:val="22"/>
              </w:rPr>
              <w:t>TIMED, s.r.o.</w:t>
            </w:r>
          </w:p>
        </w:tc>
        <w:tc>
          <w:tcPr>
            <w:tcW w:w="4695" w:type="dxa"/>
            <w:vAlign w:val="center"/>
          </w:tcPr>
          <w:p w:rsidR="00105158" w:rsidRPr="00D26106" w:rsidRDefault="00C00D96" w:rsidP="00904FEB">
            <w:pPr>
              <w:jc w:val="center"/>
              <w:rPr>
                <w:rFonts w:asciiTheme="minorHAnsi" w:hAnsiTheme="minorHAnsi" w:cstheme="minorHAnsi"/>
                <w:sz w:val="22"/>
                <w:szCs w:val="22"/>
              </w:rPr>
            </w:pPr>
            <w:r>
              <w:rPr>
                <w:rFonts w:asciiTheme="minorHAnsi" w:hAnsiTheme="minorHAnsi" w:cstheme="minorHAnsi"/>
                <w:sz w:val="22"/>
                <w:szCs w:val="22"/>
              </w:rPr>
              <w:t>275 120,00</w:t>
            </w:r>
            <w:r w:rsidR="00904FEB" w:rsidRPr="00904FEB">
              <w:rPr>
                <w:rFonts w:asciiTheme="minorHAnsi" w:hAnsiTheme="minorHAnsi" w:cstheme="minorHAnsi"/>
                <w:sz w:val="22"/>
                <w:szCs w:val="22"/>
              </w:rPr>
              <w:t xml:space="preserve"> </w:t>
            </w:r>
            <w:r w:rsidR="00461FF6" w:rsidRPr="00D26106">
              <w:rPr>
                <w:rFonts w:asciiTheme="minorHAnsi" w:hAnsiTheme="minorHAnsi" w:cstheme="minorHAnsi"/>
                <w:sz w:val="22"/>
                <w:szCs w:val="22"/>
              </w:rPr>
              <w:t>EUR s DPH</w:t>
            </w:r>
          </w:p>
        </w:tc>
      </w:tr>
      <w:tr w:rsidR="00105158" w:rsidRPr="00225422" w:rsidTr="00595736">
        <w:trPr>
          <w:trHeight w:val="312"/>
        </w:trPr>
        <w:tc>
          <w:tcPr>
            <w:tcW w:w="1098" w:type="dxa"/>
            <w:vAlign w:val="center"/>
          </w:tcPr>
          <w:p w:rsidR="00105158" w:rsidRPr="00D26106" w:rsidRDefault="00105158" w:rsidP="00105158">
            <w:pPr>
              <w:ind w:left="284" w:hanging="284"/>
              <w:jc w:val="both"/>
              <w:rPr>
                <w:rFonts w:asciiTheme="minorHAnsi" w:hAnsiTheme="minorHAnsi" w:cstheme="minorHAnsi"/>
                <w:b/>
                <w:sz w:val="22"/>
                <w:szCs w:val="22"/>
              </w:rPr>
            </w:pPr>
            <w:r w:rsidRPr="00D26106">
              <w:rPr>
                <w:rFonts w:asciiTheme="minorHAnsi" w:hAnsiTheme="minorHAnsi" w:cstheme="minorHAnsi"/>
                <w:b/>
                <w:sz w:val="22"/>
                <w:szCs w:val="22"/>
              </w:rPr>
              <w:t>2</w:t>
            </w:r>
          </w:p>
        </w:tc>
        <w:tc>
          <w:tcPr>
            <w:tcW w:w="3445" w:type="dxa"/>
            <w:vAlign w:val="center"/>
          </w:tcPr>
          <w:p w:rsidR="00105158" w:rsidRPr="00610734" w:rsidRDefault="00C00D96" w:rsidP="00105158">
            <w:pPr>
              <w:jc w:val="center"/>
              <w:rPr>
                <w:rFonts w:asciiTheme="minorHAnsi" w:hAnsiTheme="minorHAnsi" w:cstheme="minorHAnsi"/>
                <w:sz w:val="22"/>
                <w:szCs w:val="22"/>
              </w:rPr>
            </w:pPr>
            <w:r w:rsidRPr="00980D52">
              <w:rPr>
                <w:color w:val="000000"/>
                <w:sz w:val="22"/>
                <w:szCs w:val="22"/>
              </w:rPr>
              <w:t>ARTSPECT spol. s.r.o.</w:t>
            </w:r>
          </w:p>
        </w:tc>
        <w:tc>
          <w:tcPr>
            <w:tcW w:w="4695" w:type="dxa"/>
            <w:vAlign w:val="center"/>
          </w:tcPr>
          <w:p w:rsidR="00105158" w:rsidRPr="00D26106" w:rsidRDefault="00C00D96" w:rsidP="00904FEB">
            <w:pPr>
              <w:jc w:val="center"/>
              <w:rPr>
                <w:rFonts w:asciiTheme="minorHAnsi" w:hAnsiTheme="minorHAnsi" w:cstheme="minorHAnsi"/>
                <w:sz w:val="22"/>
                <w:szCs w:val="22"/>
              </w:rPr>
            </w:pPr>
            <w:r>
              <w:rPr>
                <w:rFonts w:asciiTheme="minorHAnsi" w:hAnsiTheme="minorHAnsi" w:cstheme="minorHAnsi"/>
                <w:sz w:val="22"/>
                <w:szCs w:val="22"/>
              </w:rPr>
              <w:t>275 160,00</w:t>
            </w:r>
            <w:r w:rsidR="00904FEB" w:rsidRPr="00904FEB">
              <w:rPr>
                <w:rFonts w:asciiTheme="minorHAnsi" w:hAnsiTheme="minorHAnsi" w:cstheme="minorHAnsi"/>
                <w:sz w:val="22"/>
                <w:szCs w:val="22"/>
              </w:rPr>
              <w:t xml:space="preserve"> </w:t>
            </w:r>
            <w:r w:rsidR="00461FF6" w:rsidRPr="00D26106">
              <w:rPr>
                <w:rFonts w:asciiTheme="minorHAnsi" w:hAnsiTheme="minorHAnsi" w:cstheme="minorHAnsi"/>
                <w:sz w:val="22"/>
                <w:szCs w:val="22"/>
              </w:rPr>
              <w:t>EUR s DPH</w:t>
            </w:r>
          </w:p>
        </w:tc>
      </w:tr>
    </w:tbl>
    <w:p w:rsidR="00105158" w:rsidRPr="00105158" w:rsidRDefault="00105158" w:rsidP="00105158">
      <w:pPr>
        <w:rPr>
          <w:b/>
          <w:bCs/>
          <w:iCs/>
        </w:rPr>
      </w:pPr>
    </w:p>
    <w:p w:rsidR="00100614" w:rsidRDefault="00105158" w:rsidP="006841EF">
      <w:pPr>
        <w:jc w:val="both"/>
        <w:rPr>
          <w:bCs/>
        </w:rPr>
      </w:pPr>
      <w:r w:rsidRPr="00105158">
        <w:rPr>
          <w:u w:val="single"/>
        </w:rPr>
        <w:t>Odôvodnenie:</w:t>
      </w:r>
      <w:r w:rsidR="00461FF6">
        <w:t xml:space="preserve"> Na základe ponúk</w:t>
      </w:r>
      <w:r w:rsidRPr="00105158">
        <w:t xml:space="preserve"> uchádzačov </w:t>
      </w:r>
      <w:r>
        <w:t xml:space="preserve">po elektronickej aukcií </w:t>
      </w:r>
      <w:r w:rsidR="00461FF6">
        <w:t xml:space="preserve">zo dňa </w:t>
      </w:r>
      <w:r w:rsidR="0094795C">
        <w:t>18</w:t>
      </w:r>
      <w:r w:rsidR="004D7C55">
        <w:t>.06</w:t>
      </w:r>
      <w:r w:rsidR="00EC515D">
        <w:t>.201</w:t>
      </w:r>
      <w:r w:rsidR="0094795C">
        <w:t>9</w:t>
      </w:r>
      <w:r w:rsidR="00461FF6">
        <w:t xml:space="preserve"> </w:t>
      </w:r>
      <w:r>
        <w:t>bolo zostavené poradie uchádzačov.</w:t>
      </w:r>
      <w:r w:rsidR="00461FF6">
        <w:t xml:space="preserve"> </w:t>
      </w:r>
      <w:r w:rsidR="00461FF6">
        <w:rPr>
          <w:bCs/>
        </w:rPr>
        <w:t>Ak uchádzač, ktorý sa umiestnil ako prvý v poradí odmietne uzavrieť Čiastkovú</w:t>
      </w:r>
      <w:r w:rsidR="00461FF6" w:rsidRPr="00CC38BB">
        <w:rPr>
          <w:bCs/>
        </w:rPr>
        <w:t xml:space="preserve"> </w:t>
      </w:r>
      <w:r w:rsidR="00461FF6">
        <w:rPr>
          <w:bCs/>
        </w:rPr>
        <w:t>kúpnu</w:t>
      </w:r>
      <w:r w:rsidR="00461FF6" w:rsidRPr="00CC38BB">
        <w:rPr>
          <w:bCs/>
        </w:rPr>
        <w:t xml:space="preserve"> </w:t>
      </w:r>
      <w:r w:rsidR="00461FF6">
        <w:rPr>
          <w:bCs/>
        </w:rPr>
        <w:t xml:space="preserve">zmluvu, neposkytne verejnému obstarávateľovi riadnu súčinnosť potrebnú na uzavretie tak, aby mohla byť uzavretá do 10 pracovných dní odo dňa, keď bol na jej uzavretie písomne vyzvaný alebo ak uchádzač, ktorý sa </w:t>
      </w:r>
      <w:r w:rsidR="00D26106">
        <w:rPr>
          <w:bCs/>
        </w:rPr>
        <w:t>umiestnil ako prvý v poradí, jeho</w:t>
      </w:r>
      <w:r w:rsidR="00461FF6">
        <w:rPr>
          <w:bCs/>
        </w:rPr>
        <w:t xml:space="preserve"> subd</w:t>
      </w:r>
      <w:r w:rsidR="00D26106">
        <w:rPr>
          <w:bCs/>
        </w:rPr>
        <w:t>odávatelia podľa odseku 16 a</w:t>
      </w:r>
      <w:r w:rsidR="00461FF6">
        <w:rPr>
          <w:bCs/>
        </w:rPr>
        <w:t xml:space="preserve"> osoby podľa </w:t>
      </w:r>
      <w:r w:rsidR="00461FF6">
        <w:rPr>
          <w:b/>
          <w:bCs/>
        </w:rPr>
        <w:t xml:space="preserve">§ 33 ods. 2 </w:t>
      </w:r>
      <w:r w:rsidR="00461FF6">
        <w:rPr>
          <w:bCs/>
        </w:rPr>
        <w:t xml:space="preserve">a </w:t>
      </w:r>
      <w:r w:rsidR="00461FF6">
        <w:rPr>
          <w:b/>
          <w:bCs/>
        </w:rPr>
        <w:t xml:space="preserve">§ 34 ods. 3 </w:t>
      </w:r>
      <w:r w:rsidR="00461FF6">
        <w:rPr>
          <w:bCs/>
        </w:rPr>
        <w:t>nesplnia povinnosť podľa odseku 1</w:t>
      </w:r>
      <w:r w:rsidR="00D26106">
        <w:rPr>
          <w:bCs/>
        </w:rPr>
        <w:t>1, verejný obstarávateľ môže</w:t>
      </w:r>
      <w:r w:rsidR="00461FF6">
        <w:rPr>
          <w:bCs/>
        </w:rPr>
        <w:t xml:space="preserve"> uzavrieť </w:t>
      </w:r>
      <w:r w:rsidR="00BC4EC9">
        <w:rPr>
          <w:bCs/>
        </w:rPr>
        <w:t>čiastkovú kúpnu zmluvu</w:t>
      </w:r>
      <w:r w:rsidR="00461FF6">
        <w:rPr>
          <w:bCs/>
        </w:rPr>
        <w:t xml:space="preserve"> s uchádzačom, ktorí s</w:t>
      </w:r>
      <w:r w:rsidR="00A011CC">
        <w:rPr>
          <w:bCs/>
        </w:rPr>
        <w:t>a umiestnili ako druhí v poradí.</w:t>
      </w:r>
      <w:bookmarkStart w:id="0" w:name="_GoBack"/>
      <w:bookmarkEnd w:id="0"/>
    </w:p>
    <w:p w:rsidR="00595736" w:rsidRDefault="00595736" w:rsidP="00BE1A34">
      <w:pPr>
        <w:jc w:val="both"/>
      </w:pPr>
    </w:p>
    <w:p w:rsidR="00BE1A34" w:rsidRDefault="00BE1A34" w:rsidP="00BE1A34">
      <w:pPr>
        <w:jc w:val="both"/>
      </w:pPr>
      <w:r>
        <w:t>Proti rozhodnutiu verejného obstarávateľa je možné podať námietky v zmysle § 170 ods.3 zákona č. 343/2015 Z. z. o verejnom obstarávaní a o zmene a doplnení niektorých zákonov v znení neskorších predpisov.</w:t>
      </w:r>
    </w:p>
    <w:p w:rsidR="00BE1A34" w:rsidRDefault="00BE1A34" w:rsidP="00BE1A34">
      <w:pPr>
        <w:jc w:val="both"/>
      </w:pPr>
    </w:p>
    <w:p w:rsidR="00BE1A34" w:rsidRPr="00105158" w:rsidRDefault="00BE1A34" w:rsidP="006841EF">
      <w:pPr>
        <w:jc w:val="both"/>
        <w:rPr>
          <w:u w:val="single"/>
        </w:rPr>
      </w:pPr>
    </w:p>
    <w:sectPr w:rsidR="00BE1A34" w:rsidRPr="001051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00CB1"/>
    <w:multiLevelType w:val="hybridMultilevel"/>
    <w:tmpl w:val="4B88FFC8"/>
    <w:lvl w:ilvl="0" w:tplc="91FE44DC">
      <w:numFmt w:val="decimal"/>
      <w:lvlText w:val="3.%1"/>
      <w:lvlJc w:val="left"/>
      <w:pPr>
        <w:ind w:left="720" w:hanging="360"/>
      </w:pPr>
      <w:rPr>
        <w:rFonts w:ascii="Garamond" w:hAnsi="Garamond"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537145A"/>
    <w:multiLevelType w:val="hybridMultilevel"/>
    <w:tmpl w:val="81306E6C"/>
    <w:lvl w:ilvl="0" w:tplc="3CF4C2F4">
      <w:start w:val="1"/>
      <w:numFmt w:val="decimal"/>
      <w:lvlText w:val="2.%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1CB1703B"/>
    <w:multiLevelType w:val="hybridMultilevel"/>
    <w:tmpl w:val="D49E61CC"/>
    <w:lvl w:ilvl="0" w:tplc="82B6F68E">
      <w:start w:val="65535"/>
      <w:numFmt w:val="bullet"/>
      <w:lvlText w:val="-"/>
      <w:lvlJc w:val="left"/>
      <w:pPr>
        <w:ind w:left="1429" w:hanging="360"/>
      </w:pPr>
      <w:rPr>
        <w:rFonts w:ascii="Arial" w:hAnsi="Arial" w:cs="Aria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 w15:restartNumberingAfterBreak="0">
    <w:nsid w:val="20091F11"/>
    <w:multiLevelType w:val="hybridMultilevel"/>
    <w:tmpl w:val="DDC0C1F0"/>
    <w:lvl w:ilvl="0" w:tplc="A58420EA">
      <w:start w:val="1"/>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22C94415"/>
    <w:multiLevelType w:val="hybridMultilevel"/>
    <w:tmpl w:val="55A88F84"/>
    <w:lvl w:ilvl="0" w:tplc="60F63492">
      <w:numFmt w:val="bullet"/>
      <w:lvlText w:val=""/>
      <w:lvlJc w:val="left"/>
      <w:pPr>
        <w:ind w:left="1080" w:hanging="360"/>
      </w:pPr>
      <w:rPr>
        <w:rFonts w:ascii="Symbol" w:eastAsia="Times New Roman" w:hAnsi="Symbol"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29E61D8B"/>
    <w:multiLevelType w:val="multilevel"/>
    <w:tmpl w:val="20780B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296"/>
        </w:tabs>
        <w:ind w:left="1296" w:hanging="576"/>
      </w:pPr>
      <w:rPr>
        <w:rFonts w:hint="default"/>
        <w:b w:val="0"/>
        <w:bCs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C9B5ED5"/>
    <w:multiLevelType w:val="hybridMultilevel"/>
    <w:tmpl w:val="9320E0A8"/>
    <w:lvl w:ilvl="0" w:tplc="3754F544">
      <w:start w:val="1"/>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35C92636"/>
    <w:multiLevelType w:val="hybridMultilevel"/>
    <w:tmpl w:val="13B0AC78"/>
    <w:lvl w:ilvl="0" w:tplc="435C942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6076850"/>
    <w:multiLevelType w:val="hybridMultilevel"/>
    <w:tmpl w:val="2312E2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0EC5DA2"/>
    <w:multiLevelType w:val="hybridMultilevel"/>
    <w:tmpl w:val="CB924B1E"/>
    <w:lvl w:ilvl="0" w:tplc="82B6F68E">
      <w:start w:val="65535"/>
      <w:numFmt w:val="bullet"/>
      <w:lvlText w:val="-"/>
      <w:lvlJc w:val="left"/>
      <w:pPr>
        <w:ind w:left="1713" w:hanging="360"/>
      </w:pPr>
      <w:rPr>
        <w:rFonts w:ascii="Arial" w:hAnsi="Arial" w:cs="Aria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0" w15:restartNumberingAfterBreak="0">
    <w:nsid w:val="43393323"/>
    <w:multiLevelType w:val="hybridMultilevel"/>
    <w:tmpl w:val="0CEC099E"/>
    <w:lvl w:ilvl="0" w:tplc="36385756">
      <w:start w:val="1"/>
      <w:numFmt w:val="decimal"/>
      <w:lvlText w:val="3.%1"/>
      <w:lvlJc w:val="left"/>
      <w:pPr>
        <w:ind w:left="1440" w:hanging="360"/>
      </w:pPr>
      <w:rPr>
        <w:rFonts w:ascii="Garamond" w:hAnsi="Garamond"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47984608"/>
    <w:multiLevelType w:val="hybridMultilevel"/>
    <w:tmpl w:val="4210EC8C"/>
    <w:lvl w:ilvl="0" w:tplc="68D8C252">
      <w:start w:val="1"/>
      <w:numFmt w:val="decimal"/>
      <w:lvlText w:val="%1."/>
      <w:lvlJc w:val="left"/>
      <w:pPr>
        <w:tabs>
          <w:tab w:val="num" w:pos="720"/>
        </w:tabs>
        <w:ind w:left="720" w:hanging="360"/>
      </w:pPr>
      <w:rPr>
        <w:rFonts w:hint="default"/>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47C103E4"/>
    <w:multiLevelType w:val="hybridMultilevel"/>
    <w:tmpl w:val="03D8DD7E"/>
    <w:lvl w:ilvl="0" w:tplc="82B6F68E">
      <w:start w:val="65535"/>
      <w:numFmt w:val="bullet"/>
      <w:lvlText w:val="-"/>
      <w:lvlJc w:val="left"/>
      <w:pPr>
        <w:ind w:left="1713" w:hanging="360"/>
      </w:pPr>
      <w:rPr>
        <w:rFonts w:ascii="Arial" w:hAnsi="Arial" w:cs="Aria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3" w15:restartNumberingAfterBreak="0">
    <w:nsid w:val="4F8278E0"/>
    <w:multiLevelType w:val="hybridMultilevel"/>
    <w:tmpl w:val="0BB6C17E"/>
    <w:lvl w:ilvl="0" w:tplc="041B0005">
      <w:start w:val="1"/>
      <w:numFmt w:val="bullet"/>
      <w:lvlText w:val=""/>
      <w:lvlJc w:val="left"/>
      <w:pPr>
        <w:ind w:left="2138" w:hanging="360"/>
      </w:pPr>
      <w:rPr>
        <w:rFonts w:ascii="Wingdings" w:hAnsi="Wingdings"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4" w15:restartNumberingAfterBreak="0">
    <w:nsid w:val="51211FC8"/>
    <w:multiLevelType w:val="hybridMultilevel"/>
    <w:tmpl w:val="B484E048"/>
    <w:lvl w:ilvl="0" w:tplc="8912D72E">
      <w:start w:val="1"/>
      <w:numFmt w:val="decimal"/>
      <w:lvlText w:val="3.%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 w15:restartNumberingAfterBreak="0">
    <w:nsid w:val="5B772DF8"/>
    <w:multiLevelType w:val="multilevel"/>
    <w:tmpl w:val="64BC1EF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16A63E9"/>
    <w:multiLevelType w:val="hybridMultilevel"/>
    <w:tmpl w:val="FE602ED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72AC1386"/>
    <w:multiLevelType w:val="hybridMultilevel"/>
    <w:tmpl w:val="41DE40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4F23C17"/>
    <w:multiLevelType w:val="hybridMultilevel"/>
    <w:tmpl w:val="10B09EEC"/>
    <w:lvl w:ilvl="0" w:tplc="3508D904">
      <w:start w:val="1"/>
      <w:numFmt w:val="decimal"/>
      <w:lvlText w:val="4.%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7DCF4681"/>
    <w:multiLevelType w:val="hybridMultilevel"/>
    <w:tmpl w:val="97F8B44C"/>
    <w:lvl w:ilvl="0" w:tplc="4CE8BE1A">
      <w:start w:val="1"/>
      <w:numFmt w:val="decimal"/>
      <w:lvlText w:val="1.%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3"/>
  </w:num>
  <w:num w:numId="2">
    <w:abstractNumId w:val="6"/>
  </w:num>
  <w:num w:numId="3">
    <w:abstractNumId w:val="5"/>
  </w:num>
  <w:num w:numId="4">
    <w:abstractNumId w:val="15"/>
  </w:num>
  <w:num w:numId="5">
    <w:abstractNumId w:val="11"/>
  </w:num>
  <w:num w:numId="6">
    <w:abstractNumId w:val="7"/>
  </w:num>
  <w:num w:numId="7">
    <w:abstractNumId w:val="4"/>
  </w:num>
  <w:num w:numId="8">
    <w:abstractNumId w:val="8"/>
  </w:num>
  <w:num w:numId="9">
    <w:abstractNumId w:val="16"/>
  </w:num>
  <w:num w:numId="10">
    <w:abstractNumId w:val="12"/>
  </w:num>
  <w:num w:numId="11">
    <w:abstractNumId w:val="9"/>
  </w:num>
  <w:num w:numId="12">
    <w:abstractNumId w:val="13"/>
  </w:num>
  <w:num w:numId="13">
    <w:abstractNumId w:val="17"/>
  </w:num>
  <w:num w:numId="14">
    <w:abstractNumId w:val="10"/>
  </w:num>
  <w:num w:numId="15">
    <w:abstractNumId w:val="0"/>
  </w:num>
  <w:num w:numId="16">
    <w:abstractNumId w:val="19"/>
  </w:num>
  <w:num w:numId="17">
    <w:abstractNumId w:val="1"/>
  </w:num>
  <w:num w:numId="18">
    <w:abstractNumId w:val="14"/>
  </w:num>
  <w:num w:numId="19">
    <w:abstractNumId w:val="1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FC"/>
    <w:rsid w:val="000031A0"/>
    <w:rsid w:val="00023939"/>
    <w:rsid w:val="00030B8A"/>
    <w:rsid w:val="000409F5"/>
    <w:rsid w:val="000444DB"/>
    <w:rsid w:val="000507B3"/>
    <w:rsid w:val="0005229C"/>
    <w:rsid w:val="00053E14"/>
    <w:rsid w:val="00061AB4"/>
    <w:rsid w:val="00066889"/>
    <w:rsid w:val="000700A8"/>
    <w:rsid w:val="00085071"/>
    <w:rsid w:val="000A7C79"/>
    <w:rsid w:val="000C042A"/>
    <w:rsid w:val="000C1E89"/>
    <w:rsid w:val="000E6FB3"/>
    <w:rsid w:val="000E72D2"/>
    <w:rsid w:val="000E7872"/>
    <w:rsid w:val="00100614"/>
    <w:rsid w:val="00101816"/>
    <w:rsid w:val="00105158"/>
    <w:rsid w:val="00112A33"/>
    <w:rsid w:val="001208D5"/>
    <w:rsid w:val="00120DC2"/>
    <w:rsid w:val="0013533F"/>
    <w:rsid w:val="0014765D"/>
    <w:rsid w:val="001756FB"/>
    <w:rsid w:val="00183AF1"/>
    <w:rsid w:val="00192562"/>
    <w:rsid w:val="001947D3"/>
    <w:rsid w:val="00196804"/>
    <w:rsid w:val="001A348F"/>
    <w:rsid w:val="001A4C46"/>
    <w:rsid w:val="001B5A0B"/>
    <w:rsid w:val="001E470A"/>
    <w:rsid w:val="001F31F2"/>
    <w:rsid w:val="002155F8"/>
    <w:rsid w:val="00261427"/>
    <w:rsid w:val="002B7983"/>
    <w:rsid w:val="002D520C"/>
    <w:rsid w:val="002E04ED"/>
    <w:rsid w:val="002E2054"/>
    <w:rsid w:val="0030437C"/>
    <w:rsid w:val="00305CA2"/>
    <w:rsid w:val="003750BD"/>
    <w:rsid w:val="00383D3E"/>
    <w:rsid w:val="003D04A9"/>
    <w:rsid w:val="00400150"/>
    <w:rsid w:val="00406B44"/>
    <w:rsid w:val="0042152E"/>
    <w:rsid w:val="00437DD5"/>
    <w:rsid w:val="00461FF6"/>
    <w:rsid w:val="004817BA"/>
    <w:rsid w:val="004B1494"/>
    <w:rsid w:val="004B2B33"/>
    <w:rsid w:val="004D7C55"/>
    <w:rsid w:val="004E4F9A"/>
    <w:rsid w:val="004F70C3"/>
    <w:rsid w:val="00506A5A"/>
    <w:rsid w:val="0051031C"/>
    <w:rsid w:val="005150B7"/>
    <w:rsid w:val="00526596"/>
    <w:rsid w:val="00530096"/>
    <w:rsid w:val="00552964"/>
    <w:rsid w:val="00556D60"/>
    <w:rsid w:val="0057364B"/>
    <w:rsid w:val="00595736"/>
    <w:rsid w:val="005E0693"/>
    <w:rsid w:val="005F3E53"/>
    <w:rsid w:val="00604193"/>
    <w:rsid w:val="00607226"/>
    <w:rsid w:val="00610489"/>
    <w:rsid w:val="00610734"/>
    <w:rsid w:val="0061602F"/>
    <w:rsid w:val="006733E8"/>
    <w:rsid w:val="00676C5C"/>
    <w:rsid w:val="006841EF"/>
    <w:rsid w:val="006842A6"/>
    <w:rsid w:val="00686E4C"/>
    <w:rsid w:val="00695DBB"/>
    <w:rsid w:val="006B16B7"/>
    <w:rsid w:val="006B2CB8"/>
    <w:rsid w:val="006F0A7C"/>
    <w:rsid w:val="006F268D"/>
    <w:rsid w:val="007334A2"/>
    <w:rsid w:val="00750A79"/>
    <w:rsid w:val="007769A7"/>
    <w:rsid w:val="007B0892"/>
    <w:rsid w:val="007F0ADA"/>
    <w:rsid w:val="007F3678"/>
    <w:rsid w:val="00820D12"/>
    <w:rsid w:val="00846158"/>
    <w:rsid w:val="00847D29"/>
    <w:rsid w:val="00854646"/>
    <w:rsid w:val="00872F65"/>
    <w:rsid w:val="008D3740"/>
    <w:rsid w:val="008F07BF"/>
    <w:rsid w:val="009025FC"/>
    <w:rsid w:val="00904FEB"/>
    <w:rsid w:val="0090514A"/>
    <w:rsid w:val="00930305"/>
    <w:rsid w:val="009456F9"/>
    <w:rsid w:val="0094795C"/>
    <w:rsid w:val="00957B04"/>
    <w:rsid w:val="009708AA"/>
    <w:rsid w:val="0097340B"/>
    <w:rsid w:val="009A7038"/>
    <w:rsid w:val="009B149F"/>
    <w:rsid w:val="009B19CD"/>
    <w:rsid w:val="009B7946"/>
    <w:rsid w:val="009F658B"/>
    <w:rsid w:val="00A011CC"/>
    <w:rsid w:val="00A03F33"/>
    <w:rsid w:val="00A05DBB"/>
    <w:rsid w:val="00A35775"/>
    <w:rsid w:val="00A40D69"/>
    <w:rsid w:val="00A51EFB"/>
    <w:rsid w:val="00A576E6"/>
    <w:rsid w:val="00A61DE6"/>
    <w:rsid w:val="00A97ED5"/>
    <w:rsid w:val="00AB5AAB"/>
    <w:rsid w:val="00AC2307"/>
    <w:rsid w:val="00AC3D8B"/>
    <w:rsid w:val="00AF4DC4"/>
    <w:rsid w:val="00B15DFC"/>
    <w:rsid w:val="00B20083"/>
    <w:rsid w:val="00B30480"/>
    <w:rsid w:val="00B30D6C"/>
    <w:rsid w:val="00B3209B"/>
    <w:rsid w:val="00B35D29"/>
    <w:rsid w:val="00B37FAA"/>
    <w:rsid w:val="00B425AE"/>
    <w:rsid w:val="00B43DE3"/>
    <w:rsid w:val="00B67A55"/>
    <w:rsid w:val="00B73E54"/>
    <w:rsid w:val="00BC2C7B"/>
    <w:rsid w:val="00BC4EC9"/>
    <w:rsid w:val="00BC6635"/>
    <w:rsid w:val="00BE1A34"/>
    <w:rsid w:val="00BF17D4"/>
    <w:rsid w:val="00BF2ABE"/>
    <w:rsid w:val="00C002F5"/>
    <w:rsid w:val="00C00D96"/>
    <w:rsid w:val="00C054B7"/>
    <w:rsid w:val="00C302CE"/>
    <w:rsid w:val="00C40519"/>
    <w:rsid w:val="00C573E3"/>
    <w:rsid w:val="00C6581E"/>
    <w:rsid w:val="00C73F25"/>
    <w:rsid w:val="00CB6705"/>
    <w:rsid w:val="00D26106"/>
    <w:rsid w:val="00D26DC3"/>
    <w:rsid w:val="00D52D39"/>
    <w:rsid w:val="00D56498"/>
    <w:rsid w:val="00D619DE"/>
    <w:rsid w:val="00D646E9"/>
    <w:rsid w:val="00D92E08"/>
    <w:rsid w:val="00DA1B72"/>
    <w:rsid w:val="00DB01A7"/>
    <w:rsid w:val="00DB356A"/>
    <w:rsid w:val="00DC1B2C"/>
    <w:rsid w:val="00DC71FE"/>
    <w:rsid w:val="00E55F39"/>
    <w:rsid w:val="00E71C21"/>
    <w:rsid w:val="00EC515D"/>
    <w:rsid w:val="00EC6BA9"/>
    <w:rsid w:val="00ED3924"/>
    <w:rsid w:val="00EF1D6A"/>
    <w:rsid w:val="00EF7430"/>
    <w:rsid w:val="00F108BD"/>
    <w:rsid w:val="00F439D5"/>
    <w:rsid w:val="00F46F7B"/>
    <w:rsid w:val="00F57ABC"/>
    <w:rsid w:val="00F8208A"/>
    <w:rsid w:val="00FA0526"/>
    <w:rsid w:val="00FC0DCC"/>
    <w:rsid w:val="00FD28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07CDD"/>
  <w15:docId w15:val="{F896E5D1-D486-4CF0-8D59-17BAB9FD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0096"/>
    <w:rPr>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rsid w:val="009025FC"/>
    <w:pPr>
      <w:tabs>
        <w:tab w:val="center" w:pos="4536"/>
        <w:tab w:val="right" w:pos="9072"/>
      </w:tabs>
    </w:pPr>
  </w:style>
  <w:style w:type="paragraph" w:styleId="Textbubliny">
    <w:name w:val="Balloon Text"/>
    <w:basedOn w:val="Normlny"/>
    <w:semiHidden/>
    <w:rsid w:val="00FD288B"/>
    <w:rPr>
      <w:rFonts w:ascii="Tahoma" w:hAnsi="Tahoma" w:cs="Tahoma"/>
      <w:sz w:val="16"/>
      <w:szCs w:val="16"/>
    </w:rPr>
  </w:style>
  <w:style w:type="paragraph" w:styleId="Odsekzoznamu">
    <w:name w:val="List Paragraph"/>
    <w:basedOn w:val="Normlny"/>
    <w:uiPriority w:val="34"/>
    <w:qFormat/>
    <w:rsid w:val="00C302CE"/>
    <w:pPr>
      <w:ind w:left="708"/>
    </w:pPr>
  </w:style>
  <w:style w:type="paragraph" w:styleId="Normlnywebov">
    <w:name w:val="Normal (Web)"/>
    <w:basedOn w:val="Normlny"/>
    <w:rsid w:val="00847D29"/>
  </w:style>
  <w:style w:type="character" w:customStyle="1" w:styleId="ra">
    <w:name w:val="ra"/>
    <w:rsid w:val="00872F65"/>
  </w:style>
  <w:style w:type="table" w:styleId="Obyajntabuka4">
    <w:name w:val="Plain Table 4"/>
    <w:basedOn w:val="Normlnatabuka"/>
    <w:uiPriority w:val="44"/>
    <w:rsid w:val="00DC1B2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ukasmriekou1svetl">
    <w:name w:val="Grid Table 1 Light"/>
    <w:basedOn w:val="Normlnatabuka"/>
    <w:uiPriority w:val="46"/>
    <w:rsid w:val="00D26106"/>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028964">
      <w:bodyDiv w:val="1"/>
      <w:marLeft w:val="0"/>
      <w:marRight w:val="0"/>
      <w:marTop w:val="0"/>
      <w:marBottom w:val="0"/>
      <w:divBdr>
        <w:top w:val="none" w:sz="0" w:space="0" w:color="auto"/>
        <w:left w:val="none" w:sz="0" w:space="0" w:color="auto"/>
        <w:bottom w:val="none" w:sz="0" w:space="0" w:color="auto"/>
        <w:right w:val="none" w:sz="0" w:space="0" w:color="auto"/>
      </w:divBdr>
    </w:div>
    <w:div w:id="376317873">
      <w:bodyDiv w:val="1"/>
      <w:marLeft w:val="0"/>
      <w:marRight w:val="0"/>
      <w:marTop w:val="0"/>
      <w:marBottom w:val="0"/>
      <w:divBdr>
        <w:top w:val="none" w:sz="0" w:space="0" w:color="auto"/>
        <w:left w:val="none" w:sz="0" w:space="0" w:color="auto"/>
        <w:bottom w:val="none" w:sz="0" w:space="0" w:color="auto"/>
        <w:right w:val="none" w:sz="0" w:space="0" w:color="auto"/>
      </w:divBdr>
    </w:div>
    <w:div w:id="379478060">
      <w:bodyDiv w:val="1"/>
      <w:marLeft w:val="0"/>
      <w:marRight w:val="0"/>
      <w:marTop w:val="0"/>
      <w:marBottom w:val="0"/>
      <w:divBdr>
        <w:top w:val="none" w:sz="0" w:space="0" w:color="auto"/>
        <w:left w:val="none" w:sz="0" w:space="0" w:color="auto"/>
        <w:bottom w:val="none" w:sz="0" w:space="0" w:color="auto"/>
        <w:right w:val="none" w:sz="0" w:space="0" w:color="auto"/>
      </w:divBdr>
      <w:divsChild>
        <w:div w:id="1630159824">
          <w:marLeft w:val="0"/>
          <w:marRight w:val="0"/>
          <w:marTop w:val="0"/>
          <w:marBottom w:val="0"/>
          <w:divBdr>
            <w:top w:val="none" w:sz="0" w:space="0" w:color="auto"/>
            <w:left w:val="none" w:sz="0" w:space="0" w:color="auto"/>
            <w:bottom w:val="none" w:sz="0" w:space="0" w:color="auto"/>
            <w:right w:val="none" w:sz="0" w:space="0" w:color="auto"/>
          </w:divBdr>
        </w:div>
      </w:divsChild>
    </w:div>
    <w:div w:id="121519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297</Words>
  <Characters>1699</Characters>
  <Application>Microsoft Office Word</Application>
  <DocSecurity>0</DocSecurity>
  <Lines>14</Lines>
  <Paragraphs>3</Paragraphs>
  <ScaleCrop>false</ScaleCrop>
  <HeadingPairs>
    <vt:vector size="2" baseType="variant">
      <vt:variant>
        <vt:lpstr>Názov</vt:lpstr>
      </vt:variant>
      <vt:variant>
        <vt:i4>1</vt:i4>
      </vt:variant>
    </vt:vector>
  </HeadingPairs>
  <TitlesOfParts>
    <vt:vector size="1" baseType="lpstr">
      <vt:lpstr/>
    </vt:vector>
  </TitlesOfParts>
  <Company>MOSR</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Boháč Miroslav</dc:creator>
  <cp:lastModifiedBy>Várošová Martina</cp:lastModifiedBy>
  <cp:revision>12</cp:revision>
  <cp:lastPrinted>2019-06-19T07:58:00Z</cp:lastPrinted>
  <dcterms:created xsi:type="dcterms:W3CDTF">2018-07-02T07:39:00Z</dcterms:created>
  <dcterms:modified xsi:type="dcterms:W3CDTF">2019-06-19T11:54:00Z</dcterms:modified>
</cp:coreProperties>
</file>