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CFD5C29"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090C4B">
        <w:rPr>
          <w:rFonts w:ascii="Arial-BoldMT" w:eastAsiaTheme="minorHAnsi" w:hAnsi="Arial-BoldMT" w:cs="Arial-BoldMT"/>
          <w:bCs w:val="0"/>
          <w:sz w:val="24"/>
          <w:szCs w:val="24"/>
          <w:lang w:val="sk-SK" w:eastAsia="en-US"/>
        </w:rPr>
        <w:t>Cyklo Alej Veľký Sariš</w:t>
      </w:r>
      <w:r w:rsidR="006A048D">
        <w:rPr>
          <w:rFonts w:ascii="Arial-BoldMT" w:eastAsiaTheme="minorHAnsi" w:hAnsi="Arial-BoldMT" w:cs="Arial-BoldMT"/>
          <w:bCs w:val="0"/>
          <w:sz w:val="24"/>
          <w:szCs w:val="24"/>
          <w:lang w:val="sk-SK" w:eastAsia="en-US"/>
        </w:rPr>
        <w:t>_</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3A483086"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090C4B">
        <w:rPr>
          <w:rFonts w:asciiTheme="minorHAnsi" w:eastAsiaTheme="minorHAnsi" w:hAnsiTheme="minorHAnsi" w:cstheme="minorHAnsi"/>
          <w:b/>
          <w:bCs/>
          <w:lang w:val="sk-SK" w:eastAsia="en-US"/>
        </w:rPr>
        <w:t>Mesto Veľký Šariš</w:t>
      </w:r>
    </w:p>
    <w:p w14:paraId="0C3FC4CE" w14:textId="55B8DBD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rsidRPr="00090C4B">
        <w:rPr>
          <w:rFonts w:asciiTheme="minorHAnsi" w:hAnsiTheme="minorHAnsi" w:cstheme="minorHAnsi"/>
        </w:rPr>
        <w:t>Námestie sv. Jakuba</w:t>
      </w:r>
      <w:r w:rsidR="00090C4B">
        <w:rPr>
          <w:rFonts w:asciiTheme="minorHAnsi" w:hAnsiTheme="minorHAnsi" w:cstheme="minorHAnsi"/>
        </w:rPr>
        <w:t xml:space="preserve"> 5, 082 21 Veľký Šariš</w:t>
      </w:r>
    </w:p>
    <w:p w14:paraId="0D132FF6" w14:textId="296CC4D0"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090C4B" w:rsidRPr="00090C4B">
        <w:rPr>
          <w:rFonts w:asciiTheme="minorHAnsi" w:hAnsiTheme="minorHAnsi" w:cstheme="minorHAnsi"/>
        </w:rPr>
        <w:t>00327972</w:t>
      </w:r>
    </w:p>
    <w:p w14:paraId="01879F5C" w14:textId="4154E1D1"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t>2021451091</w:t>
      </w:r>
    </w:p>
    <w:p w14:paraId="1F0EF1E6" w14:textId="34944C1D"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090C4B">
        <w:rPr>
          <w:rFonts w:asciiTheme="minorHAnsi" w:hAnsiTheme="minorHAnsi" w:cstheme="minorHAnsi"/>
        </w:rPr>
        <w:t>JUDr. Viliam Kall</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22EA7EF" w:rsidR="0001413E" w:rsidRDefault="00090C4B" w:rsidP="00090373">
      <w:pPr>
        <w:spacing w:line="264" w:lineRule="exact"/>
        <w:ind w:left="851" w:right="45"/>
        <w:rPr>
          <w:rFonts w:asciiTheme="minorHAnsi" w:eastAsiaTheme="minorHAnsi" w:hAnsiTheme="minorHAnsi" w:cs="Arial"/>
          <w:lang w:val="sk-SK" w:eastAsia="en-US"/>
        </w:rPr>
      </w:pPr>
      <w:r>
        <w:rPr>
          <w:rFonts w:ascii="Arial" w:hAnsi="Arial" w:cs="Arial"/>
          <w:color w:val="4C5259"/>
          <w:sz w:val="20"/>
          <w:szCs w:val="20"/>
          <w:shd w:val="clear" w:color="auto" w:fill="FFFFFF"/>
        </w:rPr>
        <w:t>https://www.uvo.gov.sk/vyhladavanie-profilov/zakazky/5995</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3EC559CD"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090C4B">
        <w:rPr>
          <w:rFonts w:ascii="Arial-BoldMT" w:eastAsiaTheme="minorHAnsi" w:hAnsi="Arial-BoldMT" w:cs="Arial-BoldMT"/>
          <w:bCs w:val="0"/>
          <w:sz w:val="22"/>
          <w:szCs w:val="22"/>
          <w:lang w:val="sk-SK" w:eastAsia="en-US"/>
        </w:rPr>
        <w:t>Cyklo Alej Veľký Šariš</w:t>
      </w:r>
      <w:r w:rsidR="006A048D">
        <w:rPr>
          <w:rFonts w:ascii="Arial-BoldMT" w:eastAsiaTheme="minorHAnsi" w:hAnsi="Arial-BoldMT" w:cs="Arial-BoldMT"/>
          <w:bCs w:val="0"/>
          <w:sz w:val="22"/>
          <w:szCs w:val="22"/>
          <w:lang w:val="sk-SK" w:eastAsia="en-US"/>
        </w:rPr>
        <w:t>_</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60611920" w14:textId="77777777" w:rsidR="00090C4B" w:rsidRDefault="00090C4B" w:rsidP="00090C4B">
      <w:pPr>
        <w:pStyle w:val="Odsekzoznamu"/>
        <w:tabs>
          <w:tab w:val="left" w:pos="876"/>
          <w:tab w:val="left" w:pos="877"/>
          <w:tab w:val="left" w:pos="5264"/>
        </w:tabs>
        <w:spacing w:before="120"/>
        <w:ind w:left="879"/>
        <w:rPr>
          <w:rFonts w:ascii="Arial" w:hAnsi="Arial" w:cs="Arial"/>
          <w:color w:val="4C5259"/>
          <w:sz w:val="20"/>
          <w:szCs w:val="20"/>
          <w:shd w:val="clear" w:color="auto" w:fill="FFFFFF"/>
        </w:rPr>
      </w:pPr>
      <w:r w:rsidRPr="00090C4B">
        <w:rPr>
          <w:rFonts w:asciiTheme="minorHAnsi" w:hAnsiTheme="minorHAnsi" w:cstheme="minorHAnsi"/>
        </w:rPr>
        <w:t>Miesto: Veľký Šariš, Katastrálne územie: Veľký Šariš</w:t>
      </w:r>
      <w:r w:rsidRPr="00090C4B">
        <w:rPr>
          <w:rFonts w:asciiTheme="minorHAnsi" w:hAnsiTheme="minorHAnsi" w:cstheme="minorHAnsi"/>
        </w:rPr>
        <w:br/>
        <w:t>Parcelné číslo: KN-C 1617/1,1551, KN-E 5183/2, 184/2, 5183/15, 5564/1, 5503/17, 5601, 5599/2, KN-C</w:t>
      </w:r>
      <w:r>
        <w:rPr>
          <w:rFonts w:ascii="Arial" w:hAnsi="Arial" w:cs="Arial"/>
          <w:color w:val="4C5259"/>
          <w:sz w:val="20"/>
          <w:szCs w:val="20"/>
          <w:shd w:val="clear" w:color="auto" w:fill="FFFFFF"/>
        </w:rPr>
        <w:t xml:space="preserve"> 5</w:t>
      </w:r>
    </w:p>
    <w:p w14:paraId="6E34E1AE" w14:textId="080DB91E" w:rsidR="005D7EAE" w:rsidRPr="00F574E4" w:rsidRDefault="00FA793F" w:rsidP="00090C4B">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w:t>
      </w:r>
      <w:r w:rsidR="00090C4B">
        <w:rPr>
          <w:rFonts w:asciiTheme="minorHAnsi" w:hAnsiTheme="minorHAnsi" w:cstheme="minorHAnsi"/>
          <w:b/>
          <w:i/>
        </w:rPr>
        <w:t>0</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43B244DB" w:rsidR="005D7EAE" w:rsidRPr="0067710C" w:rsidRDefault="00FA793F" w:rsidP="00090C4B">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090C4B">
        <w:rPr>
          <w:rFonts w:asciiTheme="minorHAnsi" w:hAnsiTheme="minorHAnsi" w:cstheme="minorHAnsi"/>
          <w:b/>
        </w:rPr>
        <w:t xml:space="preserve">výške </w:t>
      </w:r>
      <w:r w:rsidR="00090C4B" w:rsidRPr="00090C4B">
        <w:rPr>
          <w:rFonts w:asciiTheme="minorHAnsi" w:hAnsiTheme="minorHAnsi" w:cstheme="minorHAnsi"/>
          <w:b/>
        </w:rPr>
        <w:t>772 014,79</w:t>
      </w:r>
      <w:r w:rsidR="00090C4B">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202C432"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6A048D">
        <w:rPr>
          <w:rFonts w:asciiTheme="minorHAnsi" w:hAnsiTheme="minorHAnsi" w:cstheme="minorHAnsi"/>
          <w:b/>
        </w:rPr>
        <w:t>1</w:t>
      </w:r>
      <w:r w:rsidR="00583F00" w:rsidRPr="00877286">
        <w:rPr>
          <w:rFonts w:asciiTheme="minorHAnsi" w:hAnsiTheme="minorHAnsi" w:cstheme="minorHAnsi"/>
          <w:b/>
        </w:rPr>
        <w:t>/</w:t>
      </w:r>
      <w:r w:rsidR="006A048D">
        <w:rPr>
          <w:rFonts w:asciiTheme="minorHAnsi" w:hAnsiTheme="minorHAnsi" w:cstheme="minorHAnsi"/>
          <w:b/>
        </w:rPr>
        <w:t>08</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0C85F7FE" w:rsidR="00261135" w:rsidRPr="00261135" w:rsidRDefault="00C80C8C"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6A048D" w:rsidRPr="00686A2D">
          <w:rPr>
            <w:rStyle w:val="Hypertextovprepojenie"/>
            <w:rFonts w:asciiTheme="minorHAnsi" w:hAnsiTheme="minorHAnsi" w:cstheme="minorHAnsi"/>
            <w:b/>
            <w:bCs/>
            <w:sz w:val="22"/>
            <w:szCs w:val="22"/>
          </w:rPr>
          <w:t>https://josephine.proebiz.com/sk/tender/14245/summary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0A41A6FF" w:rsidR="009E2A67" w:rsidRDefault="00C80C8C"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00090C4B" w:rsidRPr="00A669FE">
          <w:rPr>
            <w:rStyle w:val="Hypertextovprepojenie"/>
            <w:rFonts w:asciiTheme="minorHAnsi" w:hAnsiTheme="minorHAnsi" w:cstheme="minorHAnsi"/>
            <w:b/>
            <w:bCs/>
            <w:sz w:val="22"/>
            <w:szCs w:val="22"/>
          </w:rPr>
          <w:t>https://josephine.proebiz.com/sk/tender/</w:t>
        </w:r>
        <w:r w:rsidR="006A048D" w:rsidRPr="006A048D">
          <w:rPr>
            <w:rStyle w:val="Hypertextovprepojenie"/>
            <w:rFonts w:asciiTheme="minorHAnsi" w:hAnsiTheme="minorHAnsi" w:cstheme="minorHAnsi"/>
            <w:b/>
            <w:bCs/>
            <w:sz w:val="22"/>
            <w:szCs w:val="22"/>
          </w:rPr>
          <w:t>14245</w:t>
        </w:r>
        <w:r w:rsidR="00090C4B" w:rsidRPr="00A669FE">
          <w:rPr>
            <w:rStyle w:val="Hypertextovprepojenie"/>
            <w:rFonts w:asciiTheme="minorHAnsi" w:hAnsiTheme="minorHAnsi" w:cstheme="minorHAnsi"/>
            <w:b/>
            <w:bCs/>
            <w:sz w:val="22"/>
            <w:szCs w:val="22"/>
          </w:rPr>
          <w:t>/summary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3B035B8"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090C4B">
        <w:rPr>
          <w:rFonts w:ascii="Arial-BoldMT" w:eastAsiaTheme="minorHAnsi" w:hAnsi="Arial-BoldMT" w:cs="Arial-BoldMT"/>
          <w:bCs/>
          <w:lang w:val="sk-SK" w:eastAsia="en-US"/>
        </w:rPr>
        <w:t>Cyklo Alej Veľký Šariš</w:t>
      </w:r>
      <w:r w:rsidR="006A048D">
        <w:rPr>
          <w:rFonts w:ascii="Arial-BoldMT" w:eastAsiaTheme="minorHAnsi" w:hAnsi="Arial-BoldMT" w:cs="Arial-BoldMT"/>
          <w:bCs/>
          <w:lang w:val="sk-SK" w:eastAsia="en-US"/>
        </w:rPr>
        <w:t>_</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391BB4F5"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090C4B">
        <w:rPr>
          <w:rFonts w:asciiTheme="minorHAnsi" w:hAnsiTheme="minorHAnsi" w:cstheme="minorHAnsi"/>
          <w:i w:val="0"/>
          <w:sz w:val="22"/>
          <w:szCs w:val="22"/>
        </w:rPr>
        <w:t>2</w:t>
      </w:r>
      <w:r w:rsidR="002D5855" w:rsidRPr="002D5855">
        <w:rPr>
          <w:rFonts w:asciiTheme="minorHAnsi" w:hAnsiTheme="minorHAnsi" w:cstheme="minorHAnsi"/>
          <w:i w:val="0"/>
          <w:sz w:val="22"/>
          <w:szCs w:val="22"/>
        </w:rPr>
        <w:t>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4A2D6D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6A048D">
        <w:rPr>
          <w:rFonts w:asciiTheme="minorHAnsi" w:eastAsia="Calibri" w:hAnsiTheme="minorHAnsi" w:cstheme="minorHAnsi"/>
          <w:b/>
          <w:bCs/>
          <w:color w:val="000000"/>
        </w:rPr>
        <w:t>1</w:t>
      </w:r>
      <w:r w:rsidRPr="002D5855">
        <w:rPr>
          <w:rFonts w:asciiTheme="minorHAnsi" w:eastAsia="Calibri" w:hAnsiTheme="minorHAnsi" w:cstheme="minorHAnsi"/>
          <w:b/>
          <w:bCs/>
          <w:color w:val="000000"/>
        </w:rPr>
        <w:t>.</w:t>
      </w:r>
      <w:r w:rsidR="006A048D">
        <w:rPr>
          <w:rFonts w:asciiTheme="minorHAnsi" w:eastAsia="Calibri" w:hAnsiTheme="minorHAnsi" w:cstheme="minorHAnsi"/>
          <w:b/>
          <w:bCs/>
          <w:color w:val="000000"/>
        </w:rPr>
        <w:t>08</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2A401D52" w:rsidR="0067710C" w:rsidRDefault="00C80C8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00090C4B" w:rsidRPr="00A669FE">
          <w:rPr>
            <w:rStyle w:val="Hypertextovprepojenie"/>
            <w:rFonts w:asciiTheme="minorHAnsi" w:hAnsiTheme="minorHAnsi" w:cstheme="minorHAnsi"/>
            <w:b/>
            <w:bCs/>
          </w:rPr>
          <w:t>https://josephine.proebiz.com/sk/tender/</w:t>
        </w:r>
        <w:r w:rsidR="006A048D" w:rsidRPr="006A048D">
          <w:rPr>
            <w:rStyle w:val="Hypertextovprepojenie"/>
            <w:rFonts w:asciiTheme="minorHAnsi" w:hAnsiTheme="minorHAnsi" w:cstheme="minorHAnsi"/>
            <w:b/>
            <w:bCs/>
          </w:rPr>
          <w:t>14245</w:t>
        </w:r>
        <w:r w:rsidR="00090C4B" w:rsidRPr="00A669FE">
          <w:rPr>
            <w:rStyle w:val="Hypertextovprepojenie"/>
            <w:rFonts w:asciiTheme="minorHAnsi" w:hAnsiTheme="minorHAnsi" w:cstheme="minorHAnsi"/>
            <w:b/>
            <w:bCs/>
          </w:rPr>
          <w:t>/summary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DB11A79"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090C4B">
        <w:rPr>
          <w:rFonts w:asciiTheme="minorHAnsi" w:eastAsiaTheme="minorHAnsi" w:hAnsiTheme="minorHAnsi" w:cstheme="minorHAnsi"/>
          <w:b/>
          <w:bCs/>
          <w:i/>
          <w:iCs/>
          <w:lang w:val="sk-SK" w:eastAsia="en-US"/>
        </w:rPr>
        <w:t>Mesto Veľký Šariš</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78B1AD00"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090C4B">
        <w:rPr>
          <w:rFonts w:asciiTheme="minorHAnsi" w:eastAsiaTheme="minorHAnsi" w:hAnsiTheme="minorHAnsi" w:cstheme="minorHAnsi"/>
          <w:b/>
          <w:bCs/>
          <w:i/>
          <w:iCs/>
          <w:lang w:val="sk-SK" w:eastAsia="en-US"/>
        </w:rPr>
        <w:t>Cyklo Alej Veľký Šariš</w:t>
      </w:r>
      <w:r w:rsidR="006A048D">
        <w:rPr>
          <w:rFonts w:asciiTheme="minorHAnsi" w:eastAsiaTheme="minorHAnsi" w:hAnsiTheme="minorHAnsi" w:cstheme="minorHAnsi"/>
          <w:b/>
          <w:bCs/>
          <w:i/>
          <w:iCs/>
          <w:lang w:val="sk-SK" w:eastAsia="en-US"/>
        </w:rPr>
        <w:t>_</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3FAFB14C" w14:textId="3761571F" w:rsidR="006A048D" w:rsidRPr="006A048D" w:rsidRDefault="0040071E" w:rsidP="006A048D">
      <w:pPr>
        <w:rPr>
          <w:rFonts w:ascii="Times New Roman" w:eastAsia="Times New Roman" w:hAnsi="Times New Roman"/>
          <w:sz w:val="24"/>
          <w:szCs w:val="24"/>
          <w:lang w:val="sk-SK" w:eastAsia="sk-SK"/>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6A048D">
        <w:rPr>
          <w:rFonts w:asciiTheme="minorHAnsi" w:hAnsiTheme="minorHAnsi" w:cstheme="minorHAnsi"/>
          <w:b/>
          <w:bCs/>
          <w:color w:val="000000" w:themeColor="text1"/>
        </w:rPr>
        <w:t>203</w:t>
      </w:r>
      <w:r w:rsidR="00261135" w:rsidRPr="002D5855">
        <w:rPr>
          <w:rFonts w:asciiTheme="minorHAnsi" w:hAnsiTheme="minorHAnsi" w:cstheme="minorHAnsi"/>
          <w:b/>
          <w:bCs/>
          <w:color w:val="000000" w:themeColor="text1"/>
        </w:rPr>
        <w:t xml:space="preserve">/2021 – </w:t>
      </w:r>
      <w:r w:rsidR="006A048D">
        <w:rPr>
          <w:rFonts w:asciiTheme="minorHAnsi" w:hAnsiTheme="minorHAnsi" w:cstheme="minorHAnsi"/>
          <w:b/>
          <w:bCs/>
          <w:color w:val="000000" w:themeColor="text1"/>
        </w:rPr>
        <w:t>02.09</w:t>
      </w:r>
      <w:r w:rsidR="000C0F05" w:rsidRPr="002D5855">
        <w:rPr>
          <w:rFonts w:asciiTheme="minorHAnsi" w:hAnsiTheme="minorHAnsi" w:cstheme="minorHAnsi"/>
          <w:b/>
          <w:bCs/>
          <w:color w:val="000000" w:themeColor="text1"/>
        </w:rPr>
        <w:t>.2</w:t>
      </w:r>
      <w:r w:rsidR="00261135" w:rsidRPr="002D5855">
        <w:rPr>
          <w:rFonts w:asciiTheme="minorHAnsi" w:hAnsiTheme="minorHAnsi" w:cstheme="minorHAnsi"/>
          <w:b/>
          <w:bCs/>
          <w:color w:val="000000" w:themeColor="text1"/>
        </w:rPr>
        <w:t xml:space="preserve">021, zn. </w:t>
      </w:r>
      <w:r w:rsidR="006A048D">
        <w:rPr>
          <w:rFonts w:asciiTheme="minorHAnsi" w:hAnsiTheme="minorHAnsi" w:cstheme="minorHAnsi"/>
          <w:b/>
          <w:bCs/>
          <w:color w:val="000000" w:themeColor="text1"/>
        </w:rPr>
        <w:t>42323</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r w:rsidR="006A048D" w:rsidRPr="006A048D">
        <w:t xml:space="preserve"> </w:t>
      </w:r>
    </w:p>
    <w:p w14:paraId="024DDFF4" w14:textId="605EB579" w:rsidR="000406A2" w:rsidRDefault="000406A2" w:rsidP="0040071E">
      <w:pPr>
        <w:pStyle w:val="Odsekzoznamu"/>
        <w:tabs>
          <w:tab w:val="left" w:pos="426"/>
        </w:tabs>
        <w:ind w:left="0"/>
        <w:jc w:val="both"/>
        <w:rPr>
          <w:rFonts w:asciiTheme="minorHAnsi" w:hAnsiTheme="minorHAnsi" w:cstheme="minorHAnsi"/>
        </w:rPr>
      </w:pP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.rtf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vyjadrenie/ia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199E34F9" w14:textId="77777777" w:rsidR="00090C4B" w:rsidRDefault="00090C4B" w:rsidP="006E3C0E">
      <w:pPr>
        <w:pStyle w:val="Odsekzoznamu"/>
        <w:tabs>
          <w:tab w:val="left" w:pos="426"/>
        </w:tabs>
        <w:ind w:left="0"/>
        <w:rPr>
          <w:rFonts w:asciiTheme="minorHAnsi" w:hAnsiTheme="minorHAnsi" w:cstheme="minorHAnsi"/>
          <w:color w:val="000000"/>
        </w:rPr>
      </w:pPr>
    </w:p>
    <w:p w14:paraId="52607546" w14:textId="77777777" w:rsidR="00090C4B"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5297D48C" w14:textId="34DCAD1B"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006A048D">
        <w:rPr>
          <w:rFonts w:asciiTheme="minorHAnsi" w:hAnsiTheme="minorHAnsi" w:cstheme="minorHAnsi"/>
          <w:color w:val="000000"/>
        </w:rPr>
        <w:t>inžinierske</w:t>
      </w:r>
      <w:r w:rsidRPr="006E3C0E">
        <w:rPr>
          <w:rFonts w:asciiTheme="minorHAnsi" w:hAnsiTheme="minorHAnsi" w:cstheme="minorHAnsi"/>
          <w:color w:val="000000"/>
        </w:rPr>
        <w:t xml:space="preserve"> stavby) bola rovnaká alebo vyššia ako </w:t>
      </w:r>
      <w:r w:rsidR="00090C4B">
        <w:rPr>
          <w:rFonts w:asciiTheme="minorHAnsi" w:hAnsiTheme="minorHAnsi" w:cstheme="minorHAnsi"/>
          <w:color w:val="000000"/>
        </w:rPr>
        <w:t>750</w:t>
      </w:r>
      <w:r w:rsidRPr="006E3C0E">
        <w:rPr>
          <w:rFonts w:asciiTheme="minorHAnsi" w:hAnsiTheme="minorHAnsi" w:cstheme="minorHAnsi"/>
          <w:color w:val="000000"/>
        </w:rPr>
        <w:t xml:space="preserve"> 000,00 EUR</w:t>
      </w:r>
      <w:r w:rsidR="00C80C8C">
        <w:rPr>
          <w:rFonts w:asciiTheme="minorHAnsi" w:hAnsiTheme="minorHAnsi" w:cstheme="minorHAnsi"/>
          <w:color w:val="000000"/>
        </w:rPr>
        <w:t xml:space="preserve"> bez DPH</w:t>
      </w:r>
      <w:bookmarkStart w:id="2" w:name="_GoBack"/>
      <w:bookmarkEnd w:id="2"/>
      <w:r w:rsidRPr="006E3C0E">
        <w:rPr>
          <w:rFonts w:asciiTheme="minorHAnsi" w:hAnsiTheme="minorHAnsi" w:cstheme="minorHAnsi"/>
          <w:color w:val="000000"/>
        </w:rPr>
        <w:t>.</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19A36C0C"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709A10F1"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Predmetom verejného obstarávania je uskutočnenie stavebných prác za účelom výstavby Cyklo Aleje Veľký Šariš. Uvedená stavba pozostáva z nasledovných stavebných prác:</w:t>
      </w:r>
    </w:p>
    <w:p w14:paraId="6188D6E6"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Projekt rieši koridor a trasu budúcej cyklo aleje začínajúcu na Jarkovej ulici a končiacu na Mlynskej ulici vo Veľkom Šariši, na mieste bývalého mlynského náhonu. V súčasnosti ide o značne zanedbané a neudržiavané územie, ktoré prerastá vysokými trávami v bažinatom podklade. Z tohto dôvodu nie je možná jeho údržba, nakoľko je ťažko prístupný. Cykloalej bude tvorená spoločnou cestičkou pre cyklistov a chodcov, pričom cyklisti a chodci budú navzájom oddelený deliacim pásom zo zelene, v ktorej sa vysadia stromy a vybudujú sa malé odpočívadla s lavičkami a tienidlom. Súčasťou stavebných prác je taktiež výstavba cykloprístreškov: .</w:t>
      </w:r>
    </w:p>
    <w:p w14:paraId="59A91E3A"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CP1 - Cykloprístrešok s cyklostojanmi pre bezpečné parkovanie bicyklov v počte 10 ks</w:t>
      </w:r>
    </w:p>
    <w:p w14:paraId="35EAA294" w14:textId="47F98DC2" w:rsidR="009C1587" w:rsidRPr="000C0F05" w:rsidRDefault="00090C4B" w:rsidP="00090C4B">
      <w:pPr>
        <w:ind w:left="284" w:right="556"/>
        <w:jc w:val="both"/>
        <w:rPr>
          <w:rFonts w:asciiTheme="minorHAnsi" w:hAnsiTheme="minorHAnsi" w:cstheme="minorHAnsi"/>
        </w:rPr>
      </w:pPr>
      <w:r w:rsidRPr="00090C4B">
        <w:rPr>
          <w:rFonts w:asciiTheme="minorHAnsi" w:hAnsiTheme="minorHAnsi" w:cstheme="minorHAnsi"/>
        </w:rPr>
        <w:t>CP2 - Cykloprístrešok s cyklostojanmi pre bezpečné parkovanie bicyklov v počte 5 ks</w:t>
      </w:r>
      <w:r w:rsidR="000C0F05" w:rsidRPr="000C0F05">
        <w:rPr>
          <w:rFonts w:asciiTheme="minorHAnsi" w:hAnsiTheme="minorHAnsi" w:cstheme="minorHAnsi"/>
        </w:rPr>
        <w:t>.</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4BC01A87" w14:textId="77777777" w:rsidR="00090C4B" w:rsidRDefault="00090C4B">
      <w:pPr>
        <w:pStyle w:val="Nadpis1"/>
        <w:spacing w:before="72"/>
        <w:ind w:left="5566"/>
        <w:rPr>
          <w:rFonts w:asciiTheme="minorHAnsi" w:hAnsiTheme="minorHAnsi" w:cstheme="minorHAnsi"/>
          <w:color w:val="808080"/>
          <w:sz w:val="22"/>
          <w:szCs w:val="22"/>
        </w:rPr>
      </w:pPr>
    </w:p>
    <w:p w14:paraId="23C678B9" w14:textId="77777777" w:rsidR="00090C4B" w:rsidRDefault="00090C4B">
      <w:pPr>
        <w:pStyle w:val="Nadpis1"/>
        <w:spacing w:before="72"/>
        <w:ind w:left="5566"/>
        <w:rPr>
          <w:rFonts w:asciiTheme="minorHAnsi" w:hAnsiTheme="minorHAnsi" w:cstheme="minorHAnsi"/>
          <w:color w:val="808080"/>
          <w:sz w:val="22"/>
          <w:szCs w:val="22"/>
        </w:rPr>
      </w:pPr>
    </w:p>
    <w:p w14:paraId="10121638" w14:textId="77777777" w:rsidR="00090C4B" w:rsidRDefault="00090C4B">
      <w:pPr>
        <w:pStyle w:val="Nadpis1"/>
        <w:spacing w:before="72"/>
        <w:ind w:left="5566"/>
        <w:rPr>
          <w:rFonts w:asciiTheme="minorHAnsi" w:hAnsiTheme="minorHAnsi" w:cstheme="minorHAnsi"/>
          <w:color w:val="808080"/>
          <w:sz w:val="22"/>
          <w:szCs w:val="22"/>
        </w:rPr>
      </w:pPr>
    </w:p>
    <w:p w14:paraId="20EB20FC" w14:textId="77777777" w:rsidR="00090C4B" w:rsidRDefault="00090C4B">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0F15A686"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6A048D">
        <w:rPr>
          <w:rFonts w:asciiTheme="minorHAnsi" w:eastAsiaTheme="minorHAnsi" w:hAnsiTheme="minorHAnsi" w:cstheme="minorHAnsi"/>
          <w:i/>
          <w:iCs/>
          <w:lang w:eastAsia="en-US"/>
        </w:rPr>
        <w:t>203</w:t>
      </w:r>
      <w:r w:rsidR="000C0F05">
        <w:rPr>
          <w:rFonts w:asciiTheme="minorHAnsi" w:eastAsiaTheme="minorHAnsi" w:hAnsiTheme="minorHAnsi" w:cstheme="minorHAnsi"/>
          <w:i/>
          <w:iCs/>
          <w:lang w:eastAsia="en-US"/>
        </w:rPr>
        <w:t>/202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 xml:space="preserve">zo dňa </w:t>
      </w:r>
      <w:r w:rsidR="006A048D">
        <w:rPr>
          <w:rFonts w:asciiTheme="minorHAnsi" w:eastAsiaTheme="minorHAnsi" w:hAnsiTheme="minorHAnsi" w:cstheme="minorHAnsi"/>
          <w:i/>
          <w:iCs/>
          <w:lang w:eastAsia="en-US"/>
        </w:rPr>
        <w:t>02.09</w:t>
      </w:r>
      <w:r w:rsidR="002D5855" w:rsidRPr="002D5855">
        <w:rPr>
          <w:rFonts w:asciiTheme="minorHAnsi" w:eastAsiaTheme="minorHAnsi" w:hAnsiTheme="minorHAnsi" w:cstheme="minorHAnsi"/>
          <w:i/>
          <w:iCs/>
          <w:lang w:eastAsia="en-US"/>
        </w:rPr>
        <w:t>.2021</w:t>
      </w:r>
      <w:r w:rsidR="006A048D">
        <w:rPr>
          <w:rFonts w:asciiTheme="minorHAnsi" w:eastAsiaTheme="minorHAnsi" w:hAnsiTheme="minorHAnsi" w:cstheme="minorHAnsi"/>
          <w:i/>
          <w:iCs/>
          <w:lang w:eastAsia="en-US"/>
        </w:rPr>
        <w:t>, 42323</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7" w:name="_Toc373840799"/>
      <w:bookmarkStart w:id="8"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309759B7"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w:t>
      </w:r>
      <w:r w:rsidRPr="00090C4B">
        <w:rPr>
          <w:rFonts w:asciiTheme="minorHAnsi" w:hAnsiTheme="minorHAnsi" w:cs="Arial"/>
          <w:b/>
        </w:rPr>
        <w:t>zákazky</w:t>
      </w:r>
      <w:r w:rsidR="00090C4B" w:rsidRPr="00090C4B">
        <w:rPr>
          <w:rFonts w:asciiTheme="minorHAnsi" w:hAnsiTheme="minorHAnsi" w:cs="Arial"/>
          <w:b/>
        </w:rPr>
        <w:t xml:space="preserve">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00090C4B" w:rsidRPr="00090C4B">
        <w:rPr>
          <w:rFonts w:asciiTheme="minorHAnsi" w:hAnsiTheme="minorHAnsi" w:cs="Arial"/>
          <w:b/>
        </w:rPr>
        <w:t xml:space="preserve"> </w:t>
      </w:r>
      <w:r w:rsidR="00090C4B">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3DD953C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02BBB3E0" w:rsidR="00261135" w:rsidRPr="00261135" w:rsidRDefault="00C80C8C" w:rsidP="00261135">
      <w:pPr>
        <w:rPr>
          <w:rFonts w:asciiTheme="minorHAnsi" w:hAnsiTheme="minorHAnsi" w:cstheme="minorHAnsi"/>
          <w:b/>
          <w:bCs/>
        </w:rPr>
      </w:pPr>
      <w:hyperlink r:id="rId15" w:history="1">
        <w:r w:rsidR="006A048D" w:rsidRPr="00686A2D">
          <w:rPr>
            <w:rStyle w:val="Hypertextovprepojenie"/>
            <w:rFonts w:asciiTheme="minorHAnsi" w:hAnsiTheme="minorHAnsi" w:cstheme="minorHAnsi"/>
            <w:b/>
            <w:bCs/>
            <w:highlight w:val="yellow"/>
          </w:rPr>
          <w:t>https://josephine.proebiz.com/sk/tender/14245/summary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7FCB3762" w:rsidR="00261135" w:rsidRPr="00261135" w:rsidRDefault="00C80C8C" w:rsidP="00261135">
      <w:pPr>
        <w:rPr>
          <w:rFonts w:asciiTheme="minorHAnsi" w:hAnsiTheme="minorHAnsi" w:cstheme="minorHAnsi"/>
          <w:b/>
          <w:bCs/>
        </w:rPr>
      </w:pPr>
      <w:hyperlink r:id="rId16" w:history="1">
        <w:r w:rsidR="006A048D" w:rsidRPr="00686A2D">
          <w:rPr>
            <w:rStyle w:val="Hypertextovprepojenie"/>
            <w:rFonts w:asciiTheme="minorHAnsi" w:hAnsiTheme="minorHAnsi" w:cstheme="minorHAnsi"/>
            <w:b/>
            <w:bCs/>
            <w:highlight w:val="yellow"/>
          </w:rPr>
          <w:t>https://josephine.proebiz.com/sk/tender/14245/summary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C80C8C"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049" w14:textId="77777777" w:rsidR="00090C4B" w:rsidRDefault="00090C4B">
      <w:r>
        <w:separator/>
      </w:r>
    </w:p>
  </w:endnote>
  <w:endnote w:type="continuationSeparator" w:id="0">
    <w:p w14:paraId="5ADA0EAE" w14:textId="77777777" w:rsidR="00090C4B" w:rsidRDefault="000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090C4B" w:rsidRDefault="00090C4B">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C80C8C">
                            <w:rPr>
                              <w:rFonts w:ascii="Times New Roman"/>
                              <w:b/>
                              <w:noProof/>
                              <w:sz w:val="24"/>
                            </w:rPr>
                            <w:t>22</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C80C8C">
                      <w:rPr>
                        <w:rFonts w:ascii="Times New Roman"/>
                        <w:b/>
                        <w:noProof/>
                        <w:sz w:val="24"/>
                      </w:rPr>
                      <w:t>22</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090C4B"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C80C8C">
      <w:rPr>
        <w:b/>
      </w:rPr>
      <w:t>38</w:t>
    </w:r>
    <w:r>
      <w:rPr>
        <w:b/>
      </w:rPr>
      <w:fldChar w:fldCharType="end"/>
    </w:r>
    <w:r>
      <w:t xml:space="preserve"> z </w:t>
    </w:r>
    <w:r>
      <w:rPr>
        <w:b/>
      </w:rPr>
      <w:fldChar w:fldCharType="begin"/>
    </w:r>
    <w:r>
      <w:rPr>
        <w:b/>
      </w:rPr>
      <w:instrText>NUMPAGES</w:instrText>
    </w:r>
    <w:r>
      <w:rPr>
        <w:b/>
      </w:rPr>
      <w:fldChar w:fldCharType="separate"/>
    </w:r>
    <w:r w:rsidR="00C80C8C">
      <w:rPr>
        <w:b/>
      </w:rPr>
      <w:t>38</w:t>
    </w:r>
    <w:r>
      <w:rPr>
        <w:b/>
      </w:rPr>
      <w:fldChar w:fldCharType="end"/>
    </w:r>
  </w:p>
  <w:p w14:paraId="34364654" w14:textId="77777777" w:rsidR="00090C4B" w:rsidRPr="00EB0477" w:rsidRDefault="00090C4B" w:rsidP="002F218C">
    <w:pPr>
      <w:pStyle w:val="Pta"/>
    </w:pPr>
  </w:p>
  <w:p w14:paraId="2134E33A" w14:textId="77777777" w:rsidR="00090C4B" w:rsidRDefault="00090C4B"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090C4B" w:rsidRPr="00EB0477"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sidR="00C80C8C">
      <w:rPr>
        <w:b/>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B784" w14:textId="77777777" w:rsidR="00090C4B" w:rsidRDefault="00090C4B">
      <w:r>
        <w:separator/>
      </w:r>
    </w:p>
  </w:footnote>
  <w:footnote w:type="continuationSeparator" w:id="0">
    <w:p w14:paraId="5AC1D867" w14:textId="77777777" w:rsidR="00090C4B" w:rsidRDefault="00090C4B">
      <w:r>
        <w:continuationSeparator/>
      </w:r>
    </w:p>
  </w:footnote>
  <w:footnote w:id="1">
    <w:p w14:paraId="5AC75635" w14:textId="77777777" w:rsidR="00090C4B" w:rsidRPr="00B476F0" w:rsidRDefault="00090C4B"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90C4B" w:rsidRPr="005D088B" w:rsidRDefault="00090C4B"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90C4B" w:rsidRPr="005D088B" w:rsidRDefault="00090C4B"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90C4B" w:rsidRPr="00E1291F" w:rsidRDefault="00090C4B"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90C4B" w:rsidRPr="005D088B" w:rsidRDefault="00090C4B"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90C4B" w:rsidRPr="00763CAB" w:rsidRDefault="00090C4B"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90C4B" w:rsidRPr="005D088B" w:rsidRDefault="00090C4B"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090C4B" w:rsidRDefault="00090C4B" w:rsidP="002F218C">
    <w:pPr>
      <w:pStyle w:val="Hlavika"/>
    </w:pPr>
  </w:p>
  <w:p w14:paraId="294E088F" w14:textId="77777777" w:rsidR="00090C4B" w:rsidRDefault="00090C4B"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90C4B" w:rsidRDefault="00090C4B">
    <w:pPr>
      <w:pStyle w:val="Hlavika"/>
    </w:pPr>
  </w:p>
  <w:p w14:paraId="0D69A02C" w14:textId="77777777" w:rsidR="00090C4B" w:rsidRDefault="00090C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90C4B"/>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048D"/>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21FE"/>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0C8C"/>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27815269">
      <w:bodyDiv w:val="1"/>
      <w:marLeft w:val="0"/>
      <w:marRight w:val="0"/>
      <w:marTop w:val="0"/>
      <w:marBottom w:val="0"/>
      <w:divBdr>
        <w:top w:val="none" w:sz="0" w:space="0" w:color="auto"/>
        <w:left w:val="none" w:sz="0" w:space="0" w:color="auto"/>
        <w:bottom w:val="none" w:sz="0" w:space="0" w:color="auto"/>
        <w:right w:val="none" w:sz="0" w:space="0" w:color="auto"/>
      </w:divBdr>
      <w:divsChild>
        <w:div w:id="836843609">
          <w:marLeft w:val="0"/>
          <w:marRight w:val="0"/>
          <w:marTop w:val="0"/>
          <w:marBottom w:val="0"/>
          <w:divBdr>
            <w:top w:val="none" w:sz="0" w:space="0" w:color="auto"/>
            <w:left w:val="none" w:sz="0" w:space="0" w:color="auto"/>
            <w:bottom w:val="none" w:sz="0" w:space="0" w:color="auto"/>
            <w:right w:val="none" w:sz="0" w:space="0" w:color="auto"/>
          </w:divBdr>
        </w:div>
        <w:div w:id="991718909">
          <w:marLeft w:val="0"/>
          <w:marRight w:val="0"/>
          <w:marTop w:val="0"/>
          <w:marBottom w:val="0"/>
          <w:divBdr>
            <w:top w:val="none" w:sz="0" w:space="0" w:color="auto"/>
            <w:left w:val="none" w:sz="0" w:space="0" w:color="auto"/>
            <w:bottom w:val="none" w:sz="0" w:space="0" w:color="auto"/>
            <w:right w:val="none" w:sz="0" w:space="0" w:color="auto"/>
          </w:divBdr>
        </w:div>
      </w:divsChild>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4245/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56/summary" TargetMode="External"/><Relationship Id="rId5" Type="http://schemas.openxmlformats.org/officeDocument/2006/relationships/settings" Target="settings.xml"/><Relationship Id="rId15" Type="http://schemas.openxmlformats.org/officeDocument/2006/relationships/hyperlink" Target="https://josephine.proebiz.com/sk/tender/14245/summary" TargetMode="External"/><Relationship Id="rId10" Type="http://schemas.openxmlformats.org/officeDocument/2006/relationships/hyperlink" Target="https://josephine.proebiz.com/sk/tender/14245/summ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315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14F3-D961-4CBC-8AC2-5563DECA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11860</Words>
  <Characters>67607</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2021-09-13T20:18:00Z</cp:lastPrinted>
  <dcterms:created xsi:type="dcterms:W3CDTF">2021-09-13T20:20:00Z</dcterms:created>
  <dcterms:modified xsi:type="dcterms:W3CDTF">2021-09-13T20:20:00Z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