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887BC6">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887BC6">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887BC6">
        <w:rPr>
          <w:rFonts w:ascii="Arial Narrow" w:hAnsi="Arial Narrow" w:cs="Calibri"/>
          <w:bCs/>
          <w:szCs w:val="24"/>
        </w:rPr>
        <w:t> </w:t>
      </w:r>
      <w:r w:rsidRPr="00560622">
        <w:rPr>
          <w:rFonts w:ascii="Arial Narrow" w:hAnsi="Arial Narrow" w:cs="Calibri"/>
          <w:bCs/>
          <w:szCs w:val="24"/>
        </w:rPr>
        <w:t>názvom</w:t>
      </w:r>
      <w:r w:rsidR="00887BC6">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Pr="00B96A6A" w:rsidRDefault="00DE521C" w:rsidP="00B96A6A">
      <w:pPr>
        <w:pStyle w:val="CTL"/>
        <w:numPr>
          <w:ilvl w:val="1"/>
          <w:numId w:val="31"/>
        </w:numPr>
        <w:spacing w:after="240" w:line="24" w:lineRule="atLeast"/>
        <w:ind w:left="567" w:hanging="567"/>
        <w:contextualSpacing/>
        <w:rPr>
          <w:rFonts w:ascii="Arial Narrow" w:hAnsi="Arial Narrow" w:cs="Calibri"/>
          <w:szCs w:val="24"/>
        </w:rPr>
      </w:pPr>
      <w:r w:rsidRPr="00B96A6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B96A6A">
        <w:rPr>
          <w:rFonts w:ascii="Arial Narrow" w:hAnsi="Arial Narrow" w:cs="Calibri"/>
          <w:szCs w:val="24"/>
        </w:rPr>
        <w:t>„</w:t>
      </w:r>
      <w:r w:rsidR="00B37ACB">
        <w:rPr>
          <w:rFonts w:ascii="Arial Narrow" w:hAnsi="Arial Narrow"/>
          <w:b/>
          <w:szCs w:val="24"/>
        </w:rPr>
        <w:t>Zariadenie na snímanie podoby tváre na mieste</w:t>
      </w:r>
      <w:r w:rsidR="003C0B0D">
        <w:rPr>
          <w:rFonts w:ascii="Arial Narrow" w:hAnsi="Arial Narrow"/>
          <w:szCs w:val="24"/>
        </w:rPr>
        <w:t xml:space="preserve">“. </w:t>
      </w:r>
    </w:p>
    <w:p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xml:space="preserve">. Predmet zákazky je realizovaný a financovaný v zmysle Národného programu Fond pre vnútornú bezpečnosť SK 2020 ISF SC2/NC6/A7 a zdrojov štátneho rozpočtu.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887BC6">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3A4AC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3664B3">
        <w:rPr>
          <w:rFonts w:ascii="Arial Narrow" w:hAnsi="Arial Narrow" w:cs="Calibri"/>
          <w:szCs w:val="24"/>
        </w:rPr>
        <w:t>v slovenskom alebo českom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3A4AC2">
        <w:rPr>
          <w:rFonts w:ascii="Arial Narrow" w:hAnsi="Arial Narrow"/>
          <w:szCs w:val="24"/>
        </w:rPr>
        <w:t> </w:t>
      </w:r>
      <w:r w:rsidRPr="00560622">
        <w:rPr>
          <w:rFonts w:ascii="Arial Narrow" w:hAnsi="Arial Narrow"/>
          <w:szCs w:val="24"/>
        </w:rPr>
        <w:t>mieste</w:t>
      </w:r>
      <w:r w:rsidR="003A4AC2">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B37ACB">
        <w:rPr>
          <w:rFonts w:ascii="Arial Narrow" w:hAnsi="Arial Narrow" w:cs="Calibri"/>
          <w:szCs w:val="24"/>
        </w:rPr>
        <w:t>90</w:t>
      </w:r>
      <w:r w:rsidR="00EE5DE2" w:rsidRPr="00560622">
        <w:rPr>
          <w:rFonts w:ascii="Arial Narrow" w:hAnsi="Arial Narrow" w:cs="Calibri"/>
          <w:szCs w:val="24"/>
        </w:rPr>
        <w:t xml:space="preserve"> dní</w:t>
      </w:r>
      <w:r w:rsidR="00887BC6">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560622" w:rsidRPr="00560622">
        <w:rPr>
          <w:rFonts w:ascii="Arial Narrow" w:hAnsi="Arial Narrow" w:cs="Calibri"/>
          <w:szCs w:val="24"/>
        </w:rPr>
        <w:t xml:space="preserve">: Ministerstvo vnútra SR, Račianska 45 (vchod z </w:t>
      </w:r>
      <w:proofErr w:type="spellStart"/>
      <w:r w:rsidR="00560622" w:rsidRPr="00560622">
        <w:rPr>
          <w:rFonts w:ascii="Arial Narrow" w:hAnsi="Arial Narrow" w:cs="Calibri"/>
          <w:szCs w:val="24"/>
        </w:rPr>
        <w:t>Legerského</w:t>
      </w:r>
      <w:proofErr w:type="spellEnd"/>
      <w:r w:rsidR="00560622" w:rsidRPr="00560622">
        <w:rPr>
          <w:rFonts w:ascii="Arial Narrow" w:hAnsi="Arial Narrow" w:cs="Calibri"/>
          <w:szCs w:val="24"/>
        </w:rPr>
        <w:t>), Bratislava.</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3A4AC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w:t>
      </w:r>
      <w:proofErr w:type="spellStart"/>
      <w:r w:rsidR="00E53022" w:rsidRPr="00560622">
        <w:rPr>
          <w:rFonts w:ascii="Arial Narrow" w:hAnsi="Arial Narrow"/>
          <w:color w:val="000000"/>
          <w:szCs w:val="24"/>
        </w:rPr>
        <w:t>vád</w:t>
      </w:r>
      <w:proofErr w:type="spellEnd"/>
      <w:r w:rsidR="00E53022" w:rsidRPr="00560622">
        <w:rPr>
          <w:rFonts w:ascii="Arial Narrow" w:hAnsi="Arial Narrow"/>
          <w:color w:val="000000"/>
          <w:szCs w:val="24"/>
        </w:rPr>
        <w:t xml:space="preserve">,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887BC6">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887BC6">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rsidR="00BB427D" w:rsidRPr="0004664D"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6B3CC6" w:rsidRDefault="0004664D" w:rsidP="006B3CC6">
      <w:pPr>
        <w:pStyle w:val="CTL"/>
        <w:numPr>
          <w:ilvl w:val="1"/>
          <w:numId w:val="13"/>
        </w:numPr>
        <w:tabs>
          <w:tab w:val="left" w:pos="567"/>
        </w:tabs>
        <w:spacing w:after="240" w:line="24" w:lineRule="atLeast"/>
        <w:ind w:left="567" w:hanging="567"/>
        <w:rPr>
          <w:rFonts w:ascii="Arial Narrow" w:hAnsi="Arial Narrow"/>
          <w:szCs w:val="24"/>
        </w:rPr>
      </w:pPr>
      <w:r w:rsidRPr="00E867B9">
        <w:rPr>
          <w:rFonts w:ascii="Arial Narrow" w:hAnsi="Arial Narrow" w:cs="Calibri"/>
          <w:szCs w:val="24"/>
        </w:rPr>
        <w:t xml:space="preserve">V prípade, že Predávajúci, jeho subdodávateľ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alebo subdodávateľ  podľa</w:t>
      </w:r>
      <w:r w:rsidRPr="00C1019B">
        <w:rPr>
          <w:szCs w:val="24"/>
        </w:rPr>
        <w:t xml:space="preserve"> </w:t>
      </w:r>
      <w:r w:rsidRPr="00E867B9">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C1019B">
        <w:rPr>
          <w:szCs w:val="24"/>
        </w:rPr>
        <w:t xml:space="preserve"> </w:t>
      </w:r>
      <w:r w:rsidRPr="00E867B9">
        <w:rPr>
          <w:rFonts w:ascii="Arial Narrow" w:hAnsi="Arial Narrow" w:cs="Calibri"/>
          <w:szCs w:val="24"/>
        </w:rPr>
        <w:t xml:space="preserve">jeho subdodávateľa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xml:space="preserve">. alebo subdodávateľa  podľa  zákona </w:t>
      </w:r>
      <w:r w:rsidR="00A20356">
        <w:rPr>
          <w:rFonts w:ascii="Arial Narrow" w:hAnsi="Arial Narrow" w:cs="Calibri"/>
          <w:szCs w:val="24"/>
        </w:rPr>
        <w:t xml:space="preserve">                         </w:t>
      </w:r>
      <w:r w:rsidRPr="00E867B9">
        <w:rPr>
          <w:rFonts w:ascii="Arial Narrow" w:hAnsi="Arial Narrow" w:cs="Calibri"/>
          <w:szCs w:val="24"/>
        </w:rPr>
        <w:t>č. 315/2016 Z. z., nie je:</w:t>
      </w:r>
    </w:p>
    <w:p w:rsidR="006B3CC6" w:rsidRDefault="006B3CC6" w:rsidP="00AE4FBE">
      <w:pPr>
        <w:pStyle w:val="CTL"/>
        <w:numPr>
          <w:ilvl w:val="0"/>
          <w:numId w:val="0"/>
        </w:numPr>
        <w:spacing w:after="240" w:line="24" w:lineRule="atLeast"/>
        <w:ind w:left="851" w:hanging="284"/>
        <w:contextualSpacing/>
        <w:rPr>
          <w:rFonts w:ascii="Arial Narrow" w:hAnsi="Arial Narrow" w:cs="Calibri"/>
          <w:szCs w:val="24"/>
        </w:rPr>
      </w:pPr>
      <w:r>
        <w:rPr>
          <w:rFonts w:ascii="Arial Narrow" w:hAnsi="Arial Narrow"/>
          <w:szCs w:val="24"/>
        </w:rPr>
        <w:t>1</w:t>
      </w:r>
      <w:r w:rsidR="0004664D" w:rsidRPr="006B3CC6">
        <w:rPr>
          <w:rFonts w:ascii="Arial Narrow" w:hAnsi="Arial Narrow" w:cs="Calibri"/>
          <w:szCs w:val="24"/>
        </w:rPr>
        <w:t>.</w:t>
      </w:r>
      <w:r>
        <w:rPr>
          <w:rFonts w:ascii="Arial Narrow" w:hAnsi="Arial Narrow" w:cs="Calibri"/>
          <w:szCs w:val="24"/>
        </w:rPr>
        <w:t xml:space="preserve"> prezident Slovenskej republiky</w:t>
      </w:r>
      <w:r w:rsidR="00A20356">
        <w:rPr>
          <w:rFonts w:ascii="Arial Narrow" w:hAnsi="Arial Narrow" w:cs="Calibri"/>
          <w:szCs w:val="24"/>
        </w:rPr>
        <w:t>,</w:t>
      </w:r>
    </w:p>
    <w:p w:rsidR="0004664D" w:rsidRPr="00C1019B" w:rsidRDefault="006B3CC6" w:rsidP="00AE4FBE">
      <w:pPr>
        <w:pStyle w:val="CTL"/>
        <w:numPr>
          <w:ilvl w:val="0"/>
          <w:numId w:val="0"/>
        </w:numPr>
        <w:spacing w:after="240" w:line="24" w:lineRule="atLeast"/>
        <w:ind w:left="851" w:hanging="284"/>
        <w:contextualSpacing/>
        <w:rPr>
          <w:rFonts w:ascii="Arial Narrow" w:hAnsi="Arial Narrow"/>
          <w:szCs w:val="24"/>
        </w:rPr>
      </w:pPr>
      <w:r>
        <w:rPr>
          <w:rFonts w:ascii="Arial Narrow" w:hAnsi="Arial Narrow" w:cs="Calibri"/>
          <w:szCs w:val="24"/>
        </w:rPr>
        <w:t>2</w:t>
      </w:r>
      <w:r w:rsidR="0004664D" w:rsidRPr="00E867B9">
        <w:rPr>
          <w:rFonts w:ascii="Arial Narrow" w:hAnsi="Arial Narrow" w:cs="Calibri"/>
          <w:szCs w:val="24"/>
        </w:rPr>
        <w:t>. člen vlády,</w:t>
      </w:r>
    </w:p>
    <w:p w:rsidR="0004664D" w:rsidRPr="00C1019B" w:rsidRDefault="0004664D" w:rsidP="00AE4FBE">
      <w:pPr>
        <w:pStyle w:val="CTL"/>
        <w:numPr>
          <w:ilvl w:val="0"/>
          <w:numId w:val="0"/>
        </w:numPr>
        <w:spacing w:after="240" w:line="24" w:lineRule="atLeast"/>
        <w:ind w:left="851" w:hanging="284"/>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rsidR="0004664D" w:rsidRPr="00C1019B" w:rsidRDefault="0004664D" w:rsidP="00AE4FBE">
      <w:pPr>
        <w:pStyle w:val="CTL"/>
        <w:numPr>
          <w:ilvl w:val="0"/>
          <w:numId w:val="0"/>
        </w:numPr>
        <w:spacing w:after="240" w:line="24" w:lineRule="atLeast"/>
        <w:ind w:left="851" w:hanging="284"/>
        <w:contextualSpacing/>
        <w:rPr>
          <w:rFonts w:ascii="Arial Narrow" w:hAnsi="Arial Narrow"/>
          <w:szCs w:val="24"/>
        </w:rPr>
      </w:pPr>
      <w:r w:rsidRPr="00E867B9">
        <w:rPr>
          <w:rFonts w:ascii="Arial Narrow" w:hAnsi="Arial Narrow" w:cs="Calibri"/>
          <w:szCs w:val="24"/>
        </w:rPr>
        <w:t>4. vedúci orgánu štátnej správy s celoslovenskou pôsobnosťou,</w:t>
      </w:r>
    </w:p>
    <w:p w:rsidR="0004664D" w:rsidRPr="00C1019B" w:rsidRDefault="0004664D" w:rsidP="00AE4FBE">
      <w:pPr>
        <w:pStyle w:val="CTL"/>
        <w:numPr>
          <w:ilvl w:val="0"/>
          <w:numId w:val="0"/>
        </w:numPr>
        <w:spacing w:after="240" w:line="24" w:lineRule="atLeast"/>
        <w:ind w:left="851" w:hanging="284"/>
        <w:contextualSpacing/>
        <w:rPr>
          <w:rFonts w:ascii="Arial Narrow" w:hAnsi="Arial Narrow"/>
          <w:szCs w:val="24"/>
        </w:rPr>
      </w:pPr>
      <w:r w:rsidRPr="00E867B9">
        <w:rPr>
          <w:rFonts w:ascii="Arial Narrow" w:hAnsi="Arial Narrow" w:cs="Calibri"/>
          <w:szCs w:val="24"/>
        </w:rPr>
        <w:t>5. sudca Ústavného súdu Slovenskej republiky alebo sudca,</w:t>
      </w:r>
    </w:p>
    <w:p w:rsidR="0004664D" w:rsidRPr="00C1019B" w:rsidRDefault="0004664D" w:rsidP="00AE4FBE">
      <w:pPr>
        <w:pStyle w:val="CTL"/>
        <w:numPr>
          <w:ilvl w:val="0"/>
          <w:numId w:val="0"/>
        </w:numPr>
        <w:spacing w:after="240" w:line="24" w:lineRule="atLeast"/>
        <w:ind w:left="851" w:hanging="284"/>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rsidR="0004664D" w:rsidRPr="00C1019B" w:rsidRDefault="0004664D" w:rsidP="00AE4FBE">
      <w:pPr>
        <w:pStyle w:val="CTL"/>
        <w:numPr>
          <w:ilvl w:val="0"/>
          <w:numId w:val="0"/>
        </w:numPr>
        <w:spacing w:after="240" w:line="24" w:lineRule="atLeast"/>
        <w:ind w:left="851" w:hanging="284"/>
        <w:contextualSpacing/>
        <w:rPr>
          <w:rFonts w:ascii="Arial Narrow" w:hAnsi="Arial Narrow"/>
          <w:szCs w:val="24"/>
        </w:rPr>
      </w:pPr>
      <w:r w:rsidRPr="00E867B9">
        <w:rPr>
          <w:rFonts w:ascii="Arial Narrow" w:hAnsi="Arial Narrow" w:cs="Calibri"/>
          <w:szCs w:val="24"/>
        </w:rPr>
        <w:t>7. verejný ochranca práv,</w:t>
      </w:r>
    </w:p>
    <w:p w:rsidR="0004664D" w:rsidRPr="00E867B9" w:rsidRDefault="0004664D" w:rsidP="00AE4FBE">
      <w:pPr>
        <w:pStyle w:val="CTL"/>
        <w:numPr>
          <w:ilvl w:val="0"/>
          <w:numId w:val="0"/>
        </w:numPr>
        <w:spacing w:after="240" w:line="24" w:lineRule="atLeast"/>
        <w:ind w:left="851" w:hanging="284"/>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rsidR="0004664D" w:rsidRPr="00E867B9" w:rsidRDefault="0004664D" w:rsidP="00AE4FBE">
      <w:pPr>
        <w:pStyle w:val="CTL"/>
        <w:numPr>
          <w:ilvl w:val="0"/>
          <w:numId w:val="0"/>
        </w:numPr>
        <w:spacing w:after="240" w:line="24" w:lineRule="atLeast"/>
        <w:ind w:left="851" w:hanging="284"/>
        <w:contextualSpacing/>
        <w:rPr>
          <w:rFonts w:ascii="Arial Narrow" w:hAnsi="Arial Narrow" w:cs="Calibri"/>
          <w:szCs w:val="24"/>
        </w:rPr>
      </w:pPr>
      <w:r w:rsidRPr="00E867B9">
        <w:rPr>
          <w:rFonts w:ascii="Arial Narrow" w:hAnsi="Arial Narrow" w:cs="Calibri"/>
          <w:szCs w:val="24"/>
        </w:rPr>
        <w:t>9. štátny tajomník,</w:t>
      </w:r>
    </w:p>
    <w:p w:rsidR="0004664D" w:rsidRPr="00E867B9" w:rsidRDefault="0004664D" w:rsidP="00AE4FBE">
      <w:pPr>
        <w:pStyle w:val="CTL"/>
        <w:numPr>
          <w:ilvl w:val="0"/>
          <w:numId w:val="0"/>
        </w:numPr>
        <w:spacing w:after="240" w:line="24" w:lineRule="atLeast"/>
        <w:ind w:left="851" w:hanging="284"/>
        <w:contextualSpacing/>
        <w:rPr>
          <w:rFonts w:ascii="Arial Narrow" w:hAnsi="Arial Narrow" w:cs="Calibri"/>
          <w:szCs w:val="24"/>
        </w:rPr>
      </w:pPr>
      <w:r w:rsidRPr="00E867B9">
        <w:rPr>
          <w:rFonts w:ascii="Arial Narrow" w:hAnsi="Arial Narrow" w:cs="Calibri"/>
          <w:szCs w:val="24"/>
        </w:rPr>
        <w:t>10. generálny tajomník služobného úradu,</w:t>
      </w:r>
    </w:p>
    <w:p w:rsidR="0004664D" w:rsidRPr="00E867B9" w:rsidRDefault="0004664D" w:rsidP="00AE4FBE">
      <w:pPr>
        <w:pStyle w:val="CTL"/>
        <w:numPr>
          <w:ilvl w:val="0"/>
          <w:numId w:val="0"/>
        </w:numPr>
        <w:spacing w:after="240" w:line="24" w:lineRule="atLeast"/>
        <w:ind w:left="851" w:hanging="284"/>
        <w:contextualSpacing/>
        <w:rPr>
          <w:rFonts w:ascii="Arial Narrow" w:hAnsi="Arial Narrow" w:cs="Calibri"/>
          <w:szCs w:val="24"/>
        </w:rPr>
      </w:pPr>
      <w:r w:rsidRPr="00E867B9">
        <w:rPr>
          <w:rFonts w:ascii="Arial Narrow" w:hAnsi="Arial Narrow" w:cs="Calibri"/>
          <w:szCs w:val="24"/>
        </w:rPr>
        <w:t>11. prednosta okresného úradu,</w:t>
      </w:r>
    </w:p>
    <w:p w:rsidR="0004664D" w:rsidRPr="00E867B9" w:rsidRDefault="0004664D" w:rsidP="00AE4FBE">
      <w:pPr>
        <w:pStyle w:val="CTL"/>
        <w:numPr>
          <w:ilvl w:val="0"/>
          <w:numId w:val="0"/>
        </w:numPr>
        <w:spacing w:after="240" w:line="24" w:lineRule="atLeast"/>
        <w:ind w:left="851" w:hanging="284"/>
        <w:contextualSpacing/>
        <w:rPr>
          <w:rFonts w:ascii="Arial Narrow" w:hAnsi="Arial Narrow" w:cs="Calibri"/>
          <w:szCs w:val="24"/>
        </w:rPr>
      </w:pPr>
      <w:r w:rsidRPr="00E867B9">
        <w:rPr>
          <w:rFonts w:ascii="Arial Narrow" w:hAnsi="Arial Narrow" w:cs="Calibri"/>
          <w:szCs w:val="24"/>
        </w:rPr>
        <w:t>12. primátor hlavného mesta Slovenskej republiky Bratislavy, primátor krajského mesta alebo primátor okresného mesta, alebo</w:t>
      </w:r>
    </w:p>
    <w:p w:rsidR="0004664D" w:rsidRPr="00560622" w:rsidRDefault="0004664D" w:rsidP="00AE4FBE">
      <w:pPr>
        <w:pStyle w:val="CTL"/>
        <w:numPr>
          <w:ilvl w:val="0"/>
          <w:numId w:val="0"/>
        </w:numPr>
        <w:spacing w:after="240" w:line="24" w:lineRule="atLeast"/>
        <w:ind w:left="851" w:hanging="284"/>
        <w:contextualSpacing/>
        <w:rPr>
          <w:rFonts w:ascii="Arial Narrow" w:hAnsi="Arial Narrow"/>
          <w:szCs w:val="24"/>
        </w:rPr>
      </w:pPr>
      <w:r w:rsidRPr="00E867B9">
        <w:rPr>
          <w:rFonts w:ascii="Arial Narrow" w:hAnsi="Arial Narrow" w:cs="Calibri"/>
          <w:szCs w:val="24"/>
        </w:rPr>
        <w:lastRenderedPageBreak/>
        <w:t>13. p</w:t>
      </w:r>
      <w:r w:rsidR="006B3CC6">
        <w:rPr>
          <w:rFonts w:ascii="Arial Narrow" w:hAnsi="Arial Narrow" w:cs="Calibri"/>
          <w:szCs w:val="24"/>
        </w:rPr>
        <w:t xml:space="preserve">redseda vyššieho územného celku.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FC2417" w:rsidP="00D43B58">
      <w:pPr>
        <w:pStyle w:val="CTL"/>
        <w:numPr>
          <w:ilvl w:val="1"/>
          <w:numId w:val="14"/>
        </w:numPr>
        <w:spacing w:after="60" w:line="24" w:lineRule="atLeast"/>
        <w:ind w:left="360"/>
        <w:rPr>
          <w:rFonts w:ascii="Arial Narrow" w:hAnsi="Arial Narrow"/>
          <w:szCs w:val="24"/>
        </w:rPr>
      </w:pPr>
      <w:r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3A4AC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887BC6">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3A4AC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 xml:space="preserve">Záručná doba a zodpovednosť za </w:t>
      </w:r>
      <w:proofErr w:type="spellStart"/>
      <w:r w:rsidRPr="00560622">
        <w:rPr>
          <w:rFonts w:ascii="Arial Narrow" w:hAnsi="Arial Narrow"/>
          <w:sz w:val="24"/>
          <w:szCs w:val="24"/>
        </w:rPr>
        <w:t>vady</w:t>
      </w:r>
      <w:proofErr w:type="spellEnd"/>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Pr="00D43B58" w:rsidRDefault="00887BC6"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Pr>
          <w:rFonts w:ascii="Arial Narrow" w:hAnsi="Arial Narrow"/>
          <w:szCs w:val="24"/>
        </w:rPr>
        <w:t xml:space="preserve"> </w:t>
      </w:r>
      <w:r w:rsidR="00D43B58">
        <w:rPr>
          <w:rFonts w:ascii="Arial Narrow" w:hAnsi="Arial Narrow"/>
          <w:szCs w:val="24"/>
        </w:rPr>
        <w:t xml:space="preserve">24 mesiacov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p>
    <w:p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w:t>
      </w:r>
      <w:proofErr w:type="spellStart"/>
      <w:r w:rsidR="00FC2417" w:rsidRPr="00D43B58">
        <w:rPr>
          <w:rFonts w:ascii="Arial Narrow" w:hAnsi="Arial Narrow"/>
          <w:szCs w:val="24"/>
        </w:rPr>
        <w:t>vada</w:t>
      </w:r>
      <w:proofErr w:type="spellEnd"/>
      <w:r w:rsidR="00FC2417" w:rsidRPr="00D43B58">
        <w:rPr>
          <w:rFonts w:ascii="Arial Narrow" w:hAnsi="Arial Narrow"/>
          <w:szCs w:val="24"/>
        </w:rPr>
        <w:t xml:space="preserve">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w:t>
      </w:r>
      <w:proofErr w:type="spellStart"/>
      <w:r w:rsidRPr="00560622">
        <w:rPr>
          <w:rFonts w:ascii="Arial Narrow" w:hAnsi="Arial Narrow" w:cs="Calibri"/>
          <w:szCs w:val="24"/>
        </w:rPr>
        <w:t>vád</w:t>
      </w:r>
      <w:proofErr w:type="spellEnd"/>
      <w:r w:rsidRPr="00560622">
        <w:rPr>
          <w:rFonts w:ascii="Arial Narrow" w:hAnsi="Arial Narrow" w:cs="Calibri"/>
          <w:szCs w:val="24"/>
        </w:rPr>
        <w:t xml:space="preserve"> a </w:t>
      </w:r>
      <w:r w:rsidR="00BF0AE1" w:rsidRPr="00560622">
        <w:rPr>
          <w:rFonts w:ascii="Arial Narrow" w:hAnsi="Arial Narrow" w:cs="Calibri"/>
          <w:szCs w:val="24"/>
        </w:rPr>
        <w:t>p</w:t>
      </w:r>
      <w:r w:rsidRPr="00560622">
        <w:rPr>
          <w:rFonts w:ascii="Arial Narrow" w:hAnsi="Arial Narrow" w:cs="Calibri"/>
          <w:szCs w:val="24"/>
        </w:rPr>
        <w:t xml:space="preserve">redávajúci povinnosť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odstrániť na svoje náklady</w:t>
      </w:r>
      <w:r w:rsidR="003A4AC2">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887BC6">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proofErr w:type="spellStart"/>
      <w:r w:rsidR="00BF0AE1" w:rsidRPr="00560622">
        <w:rPr>
          <w:rFonts w:ascii="Arial Narrow" w:hAnsi="Arial Narrow" w:cs="Calibri"/>
          <w:szCs w:val="24"/>
        </w:rPr>
        <w:t>vád</w:t>
      </w:r>
      <w:proofErr w:type="spellEnd"/>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w:t>
      </w:r>
      <w:proofErr w:type="spellStart"/>
      <w:r w:rsidRPr="00560622">
        <w:rPr>
          <w:rFonts w:ascii="Arial Narrow" w:hAnsi="Arial Narrow" w:cs="Calibri"/>
          <w:szCs w:val="24"/>
        </w:rPr>
        <w:t>vád</w:t>
      </w:r>
      <w:proofErr w:type="spellEnd"/>
      <w:r w:rsidRPr="00560622">
        <w:rPr>
          <w:rFonts w:ascii="Arial Narrow" w:hAnsi="Arial Narrow" w:cs="Calibri"/>
          <w:szCs w:val="24"/>
        </w:rPr>
        <w:t>.</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w:t>
      </w:r>
      <w:proofErr w:type="spellStart"/>
      <w:r w:rsidR="008C46BC" w:rsidRPr="00560622">
        <w:rPr>
          <w:rFonts w:ascii="Arial Narrow" w:hAnsi="Arial Narrow" w:cs="Calibri"/>
          <w:szCs w:val="24"/>
        </w:rPr>
        <w:t>vadu</w:t>
      </w:r>
      <w:proofErr w:type="spellEnd"/>
      <w:r w:rsidR="008C46BC" w:rsidRPr="00560622">
        <w:rPr>
          <w:rFonts w:ascii="Arial Narrow" w:hAnsi="Arial Narrow" w:cs="Calibri"/>
          <w:szCs w:val="24"/>
        </w:rPr>
        <w:t xml:space="preserve">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AE4FBE" w:rsidRPr="00560622" w:rsidRDefault="00AE4FBE" w:rsidP="00AE4FBE">
      <w:pPr>
        <w:pStyle w:val="CTL"/>
        <w:numPr>
          <w:ilvl w:val="0"/>
          <w:numId w:val="0"/>
        </w:numPr>
        <w:tabs>
          <w:tab w:val="left" w:pos="567"/>
        </w:tabs>
        <w:spacing w:after="60" w:line="24" w:lineRule="atLeast"/>
        <w:ind w:left="567"/>
        <w:rPr>
          <w:rFonts w:ascii="Arial Narrow" w:hAnsi="Arial Narrow" w:cs="Calibri"/>
          <w:szCs w:val="24"/>
        </w:rPr>
      </w:pP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887BC6"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3A4AC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3A4AC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341C2E" w:rsidRDefault="00F0274A" w:rsidP="00341C2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887BC6">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rsidR="00642739" w:rsidRPr="00341C2E" w:rsidRDefault="00642739" w:rsidP="00341C2E">
      <w:pPr>
        <w:pStyle w:val="CTL"/>
        <w:numPr>
          <w:ilvl w:val="1"/>
          <w:numId w:val="5"/>
        </w:numPr>
        <w:spacing w:after="60" w:line="24" w:lineRule="atLeast"/>
        <w:ind w:left="567" w:hanging="567"/>
        <w:rPr>
          <w:rFonts w:ascii="Arial Narrow" w:hAnsi="Arial Narrow" w:cs="Calibri"/>
          <w:szCs w:val="24"/>
        </w:rPr>
      </w:pPr>
      <w:r w:rsidRPr="00341C2E">
        <w:rPr>
          <w:rFonts w:ascii="Arial Narrow" w:hAnsi="Arial Narrow" w:cs="Calibri"/>
          <w:szCs w:val="24"/>
        </w:rPr>
        <w:t>Predávajúci je povinný strpieť výkon kontroly/auditu/overovania súvisiaceho s plnením tejto zmluvy a poskytnúť všetku potrebnú súčinnosť pri výkone kontroly/auditu/overovania oprávneným osobám, ktorými sú najmä :</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Zodpovedného orgánu,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Orgánu auditu,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Najvyššieho kontrolného úradu Slovenskej republiky,</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Úradu pre verejné obstarávanie,</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 xml:space="preserve">riadne splnomocnení zástupcovia Európskej komisie, Európskeho úradu na boj proti                 podvodov a Európskeho dvora </w:t>
      </w:r>
      <w:proofErr w:type="spellStart"/>
      <w:r>
        <w:rPr>
          <w:rFonts w:ascii="Arial Narrow" w:hAnsi="Arial Narrow" w:cs="Calibri"/>
          <w:szCs w:val="24"/>
        </w:rPr>
        <w:t>auditorov</w:t>
      </w:r>
      <w:proofErr w:type="spellEnd"/>
      <w:r>
        <w:rPr>
          <w:rFonts w:ascii="Arial Narrow" w:hAnsi="Arial Narrow" w:cs="Calibri"/>
          <w:szCs w:val="24"/>
        </w:rPr>
        <w:t>,</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osoby prizvané kontrolnými orgánmi uvedenými v písm. a) až e) tohto bodu v súlade s príslušnými právnymi predpismi SR a ES.</w:t>
      </w:r>
    </w:p>
    <w:p w:rsidR="006B3CC6" w:rsidRDefault="006B3CC6" w:rsidP="00154C42">
      <w:pPr>
        <w:pStyle w:val="CTLhead"/>
        <w:spacing w:line="24" w:lineRule="atLeast"/>
        <w:rPr>
          <w:rFonts w:ascii="Arial Narrow" w:hAnsi="Arial Narrow" w:cs="Calibri"/>
          <w:sz w:val="24"/>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3A4AC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 xml:space="preserve">redávajúceho s odstránením </w:t>
      </w:r>
      <w:proofErr w:type="spellStart"/>
      <w:r w:rsidRPr="00560622">
        <w:rPr>
          <w:rFonts w:ascii="Arial Narrow" w:hAnsi="Arial Narrow" w:cs="Calibri"/>
          <w:sz w:val="24"/>
          <w:szCs w:val="24"/>
        </w:rPr>
        <w:t>vady</w:t>
      </w:r>
      <w:proofErr w:type="spellEnd"/>
      <w:r w:rsidRPr="00560622">
        <w:rPr>
          <w:rFonts w:ascii="Arial Narrow" w:hAnsi="Arial Narrow" w:cs="Calibri"/>
          <w:sz w:val="24"/>
          <w:szCs w:val="24"/>
        </w:rPr>
        <w:t xml:space="preserve"> predmetu zmluvy</w:t>
      </w:r>
      <w:r w:rsidR="00887BC6">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887BC6">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887BC6">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04664D" w:rsidRPr="006B3CC6" w:rsidRDefault="0004664D" w:rsidP="006B3CC6">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963BA">
        <w:rPr>
          <w:rFonts w:ascii="Arial Narrow" w:hAnsi="Arial Narrow" w:cs="Calibri"/>
          <w:sz w:val="24"/>
          <w:szCs w:val="24"/>
        </w:rPr>
        <w:t>v prípade nepravdivosti vyhlásenia Predávaj</w:t>
      </w:r>
      <w:r w:rsidR="006B3CC6">
        <w:rPr>
          <w:rFonts w:ascii="Arial Narrow" w:hAnsi="Arial Narrow" w:cs="Calibri"/>
          <w:sz w:val="24"/>
          <w:szCs w:val="24"/>
        </w:rPr>
        <w:t xml:space="preserve">úceho, ktoré je uvedené v bode </w:t>
      </w:r>
      <w:r w:rsidR="006B3CC6">
        <w:rPr>
          <w:rFonts w:ascii="Arial Narrow" w:hAnsi="Arial Narrow" w:cs="Calibri"/>
          <w:sz w:val="24"/>
          <w:szCs w:val="24"/>
          <w:lang w:val="sk-SK"/>
        </w:rPr>
        <w:t>4</w:t>
      </w:r>
      <w:r w:rsidRPr="00A963BA">
        <w:rPr>
          <w:rFonts w:ascii="Arial Narrow" w:hAnsi="Arial Narrow" w:cs="Calibri"/>
          <w:sz w:val="24"/>
          <w:szCs w:val="24"/>
        </w:rPr>
        <w:t>.17. tejto zmluvy, je Predávajúci povinný zaplatiť Kupujúcemu zmluvnú pokutu vo výške 30 000,-EUR</w:t>
      </w: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3A4AC2">
        <w:rPr>
          <w:rFonts w:ascii="Arial Narrow" w:hAnsi="Arial Narrow" w:cs="Calibri"/>
          <w:sz w:val="24"/>
          <w:szCs w:val="24"/>
        </w:rPr>
        <w:t> </w:t>
      </w:r>
      <w:r w:rsidR="00E04073" w:rsidRPr="00560622">
        <w:rPr>
          <w:rFonts w:ascii="Arial Narrow" w:hAnsi="Arial Narrow" w:cs="Calibri"/>
          <w:sz w:val="24"/>
          <w:szCs w:val="24"/>
        </w:rPr>
        <w:t>záhlaví</w:t>
      </w:r>
      <w:r w:rsidR="003A4AC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6B3CC6" w:rsidRPr="00AE4FBE" w:rsidRDefault="00FC2417" w:rsidP="006B3CC6">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AE4FBE">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AE4FBE">
        <w:rPr>
          <w:rFonts w:ascii="Arial Narrow" w:hAnsi="Arial Narrow" w:cs="Calibri"/>
          <w:sz w:val="24"/>
          <w:szCs w:val="24"/>
        </w:rPr>
        <w:t xml:space="preserve">a to najmä </w:t>
      </w:r>
      <w:r w:rsidRPr="00AE4FBE">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w:t>
      </w:r>
      <w:proofErr w:type="spellStart"/>
      <w:r w:rsidRPr="00560622">
        <w:rPr>
          <w:rFonts w:ascii="Arial Narrow" w:hAnsi="Arial Narrow"/>
          <w:sz w:val="24"/>
          <w:szCs w:val="24"/>
        </w:rPr>
        <w:t>ii</w:t>
      </w:r>
      <w:proofErr w:type="spellEnd"/>
      <w:r w:rsidRPr="00560622">
        <w:rPr>
          <w:rFonts w:ascii="Arial Narrow" w:hAnsi="Arial Narrow"/>
          <w:sz w:val="24"/>
          <w:szCs w:val="24"/>
        </w:rPr>
        <w:t>) poštou prvou triedou s uhradeným poštovným, (</w:t>
      </w:r>
      <w:proofErr w:type="spellStart"/>
      <w:r w:rsidRPr="00560622">
        <w:rPr>
          <w:rFonts w:ascii="Arial Narrow" w:hAnsi="Arial Narrow"/>
          <w:sz w:val="24"/>
          <w:szCs w:val="24"/>
        </w:rPr>
        <w:t>iii</w:t>
      </w:r>
      <w:proofErr w:type="spellEnd"/>
      <w:r w:rsidRPr="00560622">
        <w:rPr>
          <w:rFonts w:ascii="Arial Narrow" w:hAnsi="Arial Narrow"/>
          <w:sz w:val="24"/>
          <w:szCs w:val="24"/>
        </w:rPr>
        <w:t>) kuriérom prostredníctvom kuriérskej spoločnosti alebo (</w:t>
      </w:r>
      <w:proofErr w:type="spellStart"/>
      <w:r w:rsidRPr="00560622">
        <w:rPr>
          <w:rFonts w:ascii="Arial Narrow" w:hAnsi="Arial Narrow"/>
          <w:sz w:val="24"/>
          <w:szCs w:val="24"/>
        </w:rPr>
        <w:t>iv</w:t>
      </w:r>
      <w:proofErr w:type="spellEnd"/>
      <w:r w:rsidRPr="00560622">
        <w:rPr>
          <w:rFonts w:ascii="Arial Narrow" w:hAnsi="Arial Narrow"/>
          <w:sz w:val="24"/>
          <w:szCs w:val="24"/>
        </w:rPr>
        <w:t>) elektronickou poštou na adresy, ktoré budú oznámené v súlade s týmto článkom zmluvy.</w:t>
      </w:r>
    </w:p>
    <w:p w:rsidR="00FC2417" w:rsidRPr="00DE038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 xml:space="preserve">Oznámenie poskytované Kupujúcemu bude zaslané na adresu uvedenú nižšie alebo inej osobe alebo na inú adresu, ktorú Kupujúci priebežne písomne oznámi Predávajúcemu v súlade s týmto </w:t>
      </w:r>
      <w:r w:rsidRPr="00DE038B">
        <w:rPr>
          <w:rFonts w:ascii="Arial Narrow" w:hAnsi="Arial Narrow"/>
          <w:sz w:val="24"/>
          <w:szCs w:val="24"/>
        </w:rPr>
        <w:t>článkom zmluvy:</w:t>
      </w:r>
    </w:p>
    <w:p w:rsidR="00FC2417" w:rsidRPr="00DE038B" w:rsidRDefault="00485F33" w:rsidP="006E6235">
      <w:pPr>
        <w:pStyle w:val="Bezriadkovania1"/>
        <w:tabs>
          <w:tab w:val="left" w:pos="567"/>
        </w:tabs>
        <w:spacing w:after="60"/>
        <w:ind w:left="567"/>
        <w:rPr>
          <w:rFonts w:ascii="Arial Narrow" w:hAnsi="Arial Narrow"/>
          <w:i/>
          <w:sz w:val="24"/>
          <w:szCs w:val="24"/>
        </w:rPr>
      </w:pPr>
      <w:r w:rsidRPr="00DE038B">
        <w:rPr>
          <w:rFonts w:ascii="Arial Narrow" w:hAnsi="Arial Narrow"/>
          <w:i/>
          <w:sz w:val="24"/>
          <w:szCs w:val="24"/>
        </w:rPr>
        <w:t>Kupujúci</w:t>
      </w:r>
    </w:p>
    <w:p w:rsidR="00E1263A" w:rsidRPr="00DE038B" w:rsidRDefault="00E1263A" w:rsidP="00E1263A">
      <w:pPr>
        <w:pStyle w:val="Odsekzoznamu"/>
        <w:tabs>
          <w:tab w:val="left" w:pos="567"/>
        </w:tabs>
        <w:ind w:left="709" w:hanging="567"/>
        <w:jc w:val="both"/>
        <w:rPr>
          <w:rFonts w:ascii="Arial Narrow" w:hAnsi="Arial Narrow"/>
          <w:bCs/>
          <w:sz w:val="24"/>
          <w:szCs w:val="24"/>
        </w:rPr>
      </w:pPr>
      <w:r w:rsidRPr="00DE038B">
        <w:rPr>
          <w:rFonts w:ascii="Arial Narrow" w:hAnsi="Arial Narrow" w:cs="Arial"/>
          <w:sz w:val="24"/>
          <w:szCs w:val="24"/>
        </w:rPr>
        <w:tab/>
        <w:t>Ministerstvo vnútra Slovenskej republiky</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Pribinova 2</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 xml:space="preserve">812 72 Bratislava </w:t>
      </w:r>
    </w:p>
    <w:p w:rsidR="008C46BC" w:rsidRPr="00DE038B" w:rsidRDefault="00E1263A" w:rsidP="008C46BC">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8C46BC" w:rsidRPr="00DE038B">
        <w:rPr>
          <w:rFonts w:ascii="Arial Narrow" w:hAnsi="Arial Narrow"/>
          <w:sz w:val="24"/>
          <w:szCs w:val="24"/>
        </w:rPr>
        <w:t>k </w:t>
      </w:r>
      <w:proofErr w:type="spellStart"/>
      <w:r w:rsidR="008C46BC" w:rsidRPr="00DE038B">
        <w:rPr>
          <w:rFonts w:ascii="Arial Narrow" w:hAnsi="Arial Narrow"/>
          <w:sz w:val="24"/>
          <w:szCs w:val="24"/>
        </w:rPr>
        <w:t>rukám:xxxxxxxxxxxxxxxxxx</w:t>
      </w:r>
      <w:proofErr w:type="spellEnd"/>
      <w:r w:rsidR="008C46BC" w:rsidRPr="00DE038B">
        <w:rPr>
          <w:rFonts w:ascii="Arial Narrow" w:hAnsi="Arial Narrow"/>
          <w:sz w:val="24"/>
          <w:szCs w:val="24"/>
        </w:rPr>
        <w:tab/>
      </w:r>
      <w:r w:rsidR="008C46BC" w:rsidRPr="00DE038B">
        <w:rPr>
          <w:rFonts w:ascii="Arial Narrow" w:hAnsi="Arial Narrow"/>
          <w:sz w:val="24"/>
          <w:szCs w:val="24"/>
        </w:rPr>
        <w:tab/>
      </w:r>
    </w:p>
    <w:p w:rsidR="008C46BC" w:rsidRPr="00DE038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t xml:space="preserve">email: </w:t>
      </w:r>
      <w:proofErr w:type="spellStart"/>
      <w:r w:rsidRPr="00DE038B">
        <w:rPr>
          <w:rFonts w:ascii="Arial Narrow" w:hAnsi="Arial Narrow"/>
          <w:sz w:val="24"/>
          <w:szCs w:val="24"/>
        </w:rPr>
        <w:t>xxxxxxxxxxxxxxxxxxxxx</w:t>
      </w:r>
      <w:proofErr w:type="spellEnd"/>
    </w:p>
    <w:p w:rsidR="00FC2417" w:rsidRPr="00DE038B" w:rsidRDefault="00E352DC" w:rsidP="00E352DC">
      <w:pPr>
        <w:pStyle w:val="Bezriadkovania1"/>
        <w:ind w:left="567" w:hanging="567"/>
        <w:rPr>
          <w:rFonts w:ascii="Arial Narrow" w:hAnsi="Arial Narrow"/>
          <w:sz w:val="24"/>
          <w:szCs w:val="24"/>
        </w:rPr>
      </w:pPr>
      <w:r w:rsidRPr="00DE038B">
        <w:rPr>
          <w:rFonts w:ascii="Arial Narrow" w:hAnsi="Arial Narrow"/>
          <w:sz w:val="24"/>
          <w:szCs w:val="24"/>
        </w:rPr>
        <w:tab/>
      </w:r>
      <w:r w:rsidR="00FC2417" w:rsidRPr="00DE038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DE038B" w:rsidRDefault="00613A8C" w:rsidP="006E6235">
      <w:pPr>
        <w:pStyle w:val="Odsekzoznamu"/>
        <w:tabs>
          <w:tab w:val="left" w:pos="567"/>
        </w:tabs>
        <w:spacing w:after="60"/>
        <w:ind w:left="709" w:hanging="567"/>
        <w:jc w:val="both"/>
        <w:rPr>
          <w:rFonts w:ascii="Arial Narrow" w:hAnsi="Arial Narrow"/>
          <w:i/>
          <w:sz w:val="24"/>
          <w:szCs w:val="24"/>
        </w:rPr>
      </w:pPr>
      <w:r w:rsidRPr="00DE038B">
        <w:rPr>
          <w:rFonts w:ascii="Arial Narrow" w:hAnsi="Arial Narrow"/>
          <w:i/>
          <w:sz w:val="24"/>
          <w:szCs w:val="24"/>
          <w:lang w:eastAsia="en-GB"/>
        </w:rPr>
        <w:tab/>
      </w:r>
      <w:r w:rsidR="00FC2417" w:rsidRPr="00DE038B">
        <w:rPr>
          <w:rFonts w:ascii="Arial Narrow" w:hAnsi="Arial Narrow"/>
          <w:i/>
          <w:sz w:val="24"/>
          <w:szCs w:val="24"/>
          <w:lang w:eastAsia="en-GB"/>
        </w:rPr>
        <w:t xml:space="preserve">Predávajúci: </w:t>
      </w:r>
    </w:p>
    <w:p w:rsidR="00485F33" w:rsidRPr="00DE038B" w:rsidRDefault="00613A8C" w:rsidP="006E6235">
      <w:pPr>
        <w:pStyle w:val="Odsekzoznamu"/>
        <w:tabs>
          <w:tab w:val="left" w:pos="567"/>
        </w:tabs>
        <w:spacing w:after="60"/>
        <w:ind w:left="709" w:hanging="567"/>
        <w:jc w:val="both"/>
        <w:rPr>
          <w:rFonts w:ascii="Arial Narrow" w:hAnsi="Arial Narrow"/>
          <w:bCs/>
          <w:sz w:val="24"/>
          <w:szCs w:val="24"/>
        </w:rPr>
      </w:pPr>
      <w:r w:rsidRPr="00DE038B">
        <w:rPr>
          <w:rFonts w:ascii="Arial Narrow" w:hAnsi="Arial Narrow" w:cs="Arial"/>
          <w:sz w:val="24"/>
          <w:szCs w:val="24"/>
        </w:rPr>
        <w:tab/>
      </w:r>
      <w:proofErr w:type="spellStart"/>
      <w:r w:rsidR="00485F33" w:rsidRPr="00DE038B">
        <w:rPr>
          <w:rFonts w:ascii="Arial Narrow" w:hAnsi="Arial Narrow" w:cs="Arial"/>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k </w:t>
      </w:r>
      <w:proofErr w:type="spellStart"/>
      <w:r w:rsidR="00485F33" w:rsidRPr="00DE038B">
        <w:rPr>
          <w:rFonts w:ascii="Arial Narrow" w:hAnsi="Arial Narrow"/>
          <w:sz w:val="24"/>
          <w:szCs w:val="24"/>
        </w:rPr>
        <w:t>rukám:xxxxxxxxxxxxxxxxxx</w:t>
      </w:r>
      <w:proofErr w:type="spellEnd"/>
      <w:r w:rsidR="00485F33" w:rsidRPr="00DE038B">
        <w:rPr>
          <w:rFonts w:ascii="Arial Narrow" w:hAnsi="Arial Narrow"/>
          <w:sz w:val="24"/>
          <w:szCs w:val="24"/>
        </w:rPr>
        <w:tab/>
      </w:r>
      <w:r w:rsidR="00485F33" w:rsidRPr="00DE038B">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 xml:space="preserve">email: </w:t>
      </w:r>
      <w:proofErr w:type="spellStart"/>
      <w:r w:rsidR="00485F33" w:rsidRPr="00DE038B">
        <w:rPr>
          <w:rFonts w:ascii="Arial Narrow" w:hAnsi="Arial Narrow"/>
          <w:sz w:val="24"/>
          <w:szCs w:val="24"/>
        </w:rPr>
        <w:t>xxxxxxxxxxxxxxxxxxxxx</w:t>
      </w:r>
      <w:proofErr w:type="spellEnd"/>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3A4AC2">
        <w:rPr>
          <w:rFonts w:ascii="Arial Narrow" w:hAnsi="Arial Narrow"/>
          <w:sz w:val="24"/>
          <w:szCs w:val="24"/>
        </w:rPr>
        <w:t> </w:t>
      </w:r>
      <w:r w:rsidRPr="00560622">
        <w:rPr>
          <w:rFonts w:ascii="Arial Narrow" w:hAnsi="Arial Narrow"/>
          <w:sz w:val="24"/>
          <w:szCs w:val="24"/>
        </w:rPr>
        <w:t>prípade</w:t>
      </w:r>
      <w:r w:rsidR="003A4AC2">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3A4AC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Táto zmluva nadobudne účinnosť až po schválení verejného obstarávania v rámci kontroly, t.j. doručením správy z kontroly VO prijímateľovi a </w:t>
      </w:r>
      <w:r w:rsidRPr="00560622">
        <w:rPr>
          <w:rFonts w:ascii="Arial Narrow" w:hAnsi="Arial Narrow"/>
          <w:sz w:val="24"/>
          <w:szCs w:val="24"/>
        </w:rPr>
        <w:t xml:space="preserve">zároveň nadobudne účinnosť až dňom nasledujúcim po dni jej zverejnenia v Centrálnom registri zmlúv v súlade so zákonom č. 40/1964 Zb. Občiansky zákonník </w:t>
      </w:r>
      <w:r w:rsidRPr="00560622">
        <w:rPr>
          <w:rFonts w:ascii="Arial Narrow" w:hAnsi="Arial Narrow"/>
          <w:sz w:val="24"/>
          <w:szCs w:val="24"/>
        </w:rPr>
        <w:lastRenderedPageBreak/>
        <w:t>v znení neskorších predpisov, a ktorými sa menia a dopĺňajú niektoré zákony. Zverejnenie zmluvy v Centrálnom registri zmlúv zabezpečí kupujúci.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even" r:id="rId9"/>
      <w:headerReference w:type="default" r:id="rId10"/>
      <w:footerReference w:type="even" r:id="rId11"/>
      <w:footerReference w:type="default" r:id="rId12"/>
      <w:headerReference w:type="first" r:id="rId13"/>
      <w:footerReference w:type="first" r:id="rId14"/>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64" w:rsidRDefault="00BA3F64" w:rsidP="006E6235">
      <w:r>
        <w:separator/>
      </w:r>
    </w:p>
  </w:endnote>
  <w:endnote w:type="continuationSeparator" w:id="0">
    <w:p w:rsidR="00BA3F64" w:rsidRDefault="00BA3F6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7C" w:rsidRDefault="00CC2E7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rsidR="005C47C6" w:rsidRDefault="00BA3F64" w:rsidP="00CC2E7C">
            <w:pPr>
              <w:pStyle w:val="Pta"/>
              <w:tabs>
                <w:tab w:val="left" w:pos="8577"/>
                <w:tab w:val="right" w:pos="9356"/>
              </w:tabs>
            </w:pPr>
          </w:p>
          <w:bookmarkStart w:id="0" w:name="_GoBack" w:displacedByCustomXml="next"/>
          <w:bookmarkEnd w:id="0" w:displacedByCustomXml="nex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7C" w:rsidRDefault="00CC2E7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64" w:rsidRDefault="00BA3F64" w:rsidP="006E6235">
      <w:r>
        <w:separator/>
      </w:r>
    </w:p>
  </w:footnote>
  <w:footnote w:type="continuationSeparator" w:id="0">
    <w:p w:rsidR="00BA3F64" w:rsidRDefault="00BA3F64"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7C" w:rsidRDefault="00CC2E7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rsidR="002C3622" w:rsidRDefault="002C362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7C" w:rsidRDefault="00CC2E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7"/>
  </w:num>
  <w:num w:numId="6">
    <w:abstractNumId w:val="5"/>
  </w:num>
  <w:num w:numId="7">
    <w:abstractNumId w:val="15"/>
  </w:num>
  <w:num w:numId="8">
    <w:abstractNumId w:val="21"/>
  </w:num>
  <w:num w:numId="9">
    <w:abstractNumId w:val="24"/>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3"/>
  </w:num>
  <w:num w:numId="26">
    <w:abstractNumId w:val="4"/>
  </w:num>
  <w:num w:numId="27">
    <w:abstractNumId w:val="25"/>
  </w:num>
  <w:num w:numId="28">
    <w:abstractNumId w:val="28"/>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AD" w15:userId="S-1-5-21-352021142-1903484755-3030794557-20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4664D"/>
    <w:rsid w:val="00065905"/>
    <w:rsid w:val="000815C8"/>
    <w:rsid w:val="000877AE"/>
    <w:rsid w:val="00094AC0"/>
    <w:rsid w:val="000A644D"/>
    <w:rsid w:val="000B3AA8"/>
    <w:rsid w:val="000D28A9"/>
    <w:rsid w:val="000E2F2D"/>
    <w:rsid w:val="000E63B6"/>
    <w:rsid w:val="000F28BD"/>
    <w:rsid w:val="001005FA"/>
    <w:rsid w:val="00100DF0"/>
    <w:rsid w:val="001035E7"/>
    <w:rsid w:val="00110388"/>
    <w:rsid w:val="00144AD6"/>
    <w:rsid w:val="00153E4C"/>
    <w:rsid w:val="00154C42"/>
    <w:rsid w:val="00187522"/>
    <w:rsid w:val="001A1BAB"/>
    <w:rsid w:val="001A1D1B"/>
    <w:rsid w:val="001B01D3"/>
    <w:rsid w:val="001B5406"/>
    <w:rsid w:val="001D25D0"/>
    <w:rsid w:val="001F49E2"/>
    <w:rsid w:val="00247C1A"/>
    <w:rsid w:val="002761BF"/>
    <w:rsid w:val="00285C9D"/>
    <w:rsid w:val="00287E51"/>
    <w:rsid w:val="002A05ED"/>
    <w:rsid w:val="002B3C9A"/>
    <w:rsid w:val="002C3622"/>
    <w:rsid w:val="002D5792"/>
    <w:rsid w:val="002D73F8"/>
    <w:rsid w:val="002E2C9D"/>
    <w:rsid w:val="002F6AC2"/>
    <w:rsid w:val="003148C1"/>
    <w:rsid w:val="0032107B"/>
    <w:rsid w:val="00341C2E"/>
    <w:rsid w:val="0034246B"/>
    <w:rsid w:val="00363E6B"/>
    <w:rsid w:val="003664B3"/>
    <w:rsid w:val="00386FA2"/>
    <w:rsid w:val="003A0BED"/>
    <w:rsid w:val="003A4AC2"/>
    <w:rsid w:val="003B06AC"/>
    <w:rsid w:val="003B3DFB"/>
    <w:rsid w:val="003C0B0D"/>
    <w:rsid w:val="003D1B32"/>
    <w:rsid w:val="003D2F55"/>
    <w:rsid w:val="003D7909"/>
    <w:rsid w:val="003E798A"/>
    <w:rsid w:val="004003BF"/>
    <w:rsid w:val="00404493"/>
    <w:rsid w:val="004051D1"/>
    <w:rsid w:val="004135CF"/>
    <w:rsid w:val="0042192C"/>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04DE7"/>
    <w:rsid w:val="00513182"/>
    <w:rsid w:val="0052010E"/>
    <w:rsid w:val="00532C5D"/>
    <w:rsid w:val="0054359B"/>
    <w:rsid w:val="00543852"/>
    <w:rsid w:val="00545155"/>
    <w:rsid w:val="00554EC0"/>
    <w:rsid w:val="00560622"/>
    <w:rsid w:val="00565125"/>
    <w:rsid w:val="00582DCF"/>
    <w:rsid w:val="0059331A"/>
    <w:rsid w:val="005C47AE"/>
    <w:rsid w:val="005C47C6"/>
    <w:rsid w:val="005D1538"/>
    <w:rsid w:val="005D55E8"/>
    <w:rsid w:val="005F0DEE"/>
    <w:rsid w:val="006037E3"/>
    <w:rsid w:val="006056F6"/>
    <w:rsid w:val="00613A8C"/>
    <w:rsid w:val="006208A8"/>
    <w:rsid w:val="00621B8E"/>
    <w:rsid w:val="00626B24"/>
    <w:rsid w:val="00632AFB"/>
    <w:rsid w:val="00641960"/>
    <w:rsid w:val="00642739"/>
    <w:rsid w:val="006459FE"/>
    <w:rsid w:val="006710D7"/>
    <w:rsid w:val="00675C28"/>
    <w:rsid w:val="00680DCA"/>
    <w:rsid w:val="00693E11"/>
    <w:rsid w:val="006B19B5"/>
    <w:rsid w:val="006B3CC6"/>
    <w:rsid w:val="006C25A5"/>
    <w:rsid w:val="006C30F1"/>
    <w:rsid w:val="006E331A"/>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66950"/>
    <w:rsid w:val="008808C4"/>
    <w:rsid w:val="00887BC6"/>
    <w:rsid w:val="008911FF"/>
    <w:rsid w:val="008A2A3D"/>
    <w:rsid w:val="008A3759"/>
    <w:rsid w:val="008B250C"/>
    <w:rsid w:val="008C420E"/>
    <w:rsid w:val="008C46BC"/>
    <w:rsid w:val="008C78CC"/>
    <w:rsid w:val="008E1AA4"/>
    <w:rsid w:val="008E5017"/>
    <w:rsid w:val="0091435F"/>
    <w:rsid w:val="0092116C"/>
    <w:rsid w:val="00930F80"/>
    <w:rsid w:val="00945EA5"/>
    <w:rsid w:val="00964845"/>
    <w:rsid w:val="00970C2D"/>
    <w:rsid w:val="00973437"/>
    <w:rsid w:val="009B0246"/>
    <w:rsid w:val="009B2474"/>
    <w:rsid w:val="009D4970"/>
    <w:rsid w:val="009E5D1A"/>
    <w:rsid w:val="00A04F38"/>
    <w:rsid w:val="00A20356"/>
    <w:rsid w:val="00A23C81"/>
    <w:rsid w:val="00A324FA"/>
    <w:rsid w:val="00A350F5"/>
    <w:rsid w:val="00A500AC"/>
    <w:rsid w:val="00A82F42"/>
    <w:rsid w:val="00AA5611"/>
    <w:rsid w:val="00AA631D"/>
    <w:rsid w:val="00AC37B3"/>
    <w:rsid w:val="00AC67C2"/>
    <w:rsid w:val="00AD44DF"/>
    <w:rsid w:val="00AE4FBE"/>
    <w:rsid w:val="00B104DE"/>
    <w:rsid w:val="00B37ACB"/>
    <w:rsid w:val="00B5627F"/>
    <w:rsid w:val="00B60143"/>
    <w:rsid w:val="00B96A6A"/>
    <w:rsid w:val="00BA2865"/>
    <w:rsid w:val="00BA3F64"/>
    <w:rsid w:val="00BB427D"/>
    <w:rsid w:val="00BF0AE1"/>
    <w:rsid w:val="00C1403F"/>
    <w:rsid w:val="00C14B09"/>
    <w:rsid w:val="00C61439"/>
    <w:rsid w:val="00C84572"/>
    <w:rsid w:val="00C85957"/>
    <w:rsid w:val="00CA1ED4"/>
    <w:rsid w:val="00CC2904"/>
    <w:rsid w:val="00CC2E7C"/>
    <w:rsid w:val="00CE13E9"/>
    <w:rsid w:val="00D0046D"/>
    <w:rsid w:val="00D43B58"/>
    <w:rsid w:val="00D5473D"/>
    <w:rsid w:val="00D705FC"/>
    <w:rsid w:val="00D73D13"/>
    <w:rsid w:val="00D83C23"/>
    <w:rsid w:val="00D92443"/>
    <w:rsid w:val="00DA05EA"/>
    <w:rsid w:val="00DA58A1"/>
    <w:rsid w:val="00DA7BC4"/>
    <w:rsid w:val="00DB27EC"/>
    <w:rsid w:val="00DB4DE5"/>
    <w:rsid w:val="00DB4E19"/>
    <w:rsid w:val="00DE038B"/>
    <w:rsid w:val="00DE521C"/>
    <w:rsid w:val="00DE6451"/>
    <w:rsid w:val="00E04073"/>
    <w:rsid w:val="00E05266"/>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8870952">
      <w:bodyDiv w:val="1"/>
      <w:marLeft w:val="0"/>
      <w:marRight w:val="0"/>
      <w:marTop w:val="0"/>
      <w:marBottom w:val="0"/>
      <w:divBdr>
        <w:top w:val="none" w:sz="0" w:space="0" w:color="auto"/>
        <w:left w:val="none" w:sz="0" w:space="0" w:color="auto"/>
        <w:bottom w:val="none" w:sz="0" w:space="0" w:color="auto"/>
        <w:right w:val="none" w:sz="0" w:space="0" w:color="auto"/>
      </w:divBdr>
    </w:div>
    <w:div w:id="147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651C-5903-4F41-87BB-266981E5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3093</Words>
  <Characters>17634</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11</cp:revision>
  <cp:lastPrinted>2020-09-23T13:30:00Z</cp:lastPrinted>
  <dcterms:created xsi:type="dcterms:W3CDTF">2022-06-15T08:33:00Z</dcterms:created>
  <dcterms:modified xsi:type="dcterms:W3CDTF">2022-06-20T08:24:00Z</dcterms:modified>
</cp:coreProperties>
</file>