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F31F9C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D03C1">
        <w:rPr>
          <w:rFonts w:ascii="Calibri" w:hAnsi="Calibri" w:cs="Calibri"/>
          <w:b/>
          <w:sz w:val="22"/>
          <w:szCs w:val="22"/>
        </w:rPr>
        <w:t>Turnov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8F8F489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D03C1">
        <w:rPr>
          <w:rFonts w:ascii="Calibri" w:hAnsi="Calibri" w:cs="Calibri"/>
          <w:b/>
          <w:sz w:val="22"/>
          <w:szCs w:val="22"/>
        </w:rPr>
        <w:t>E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1B32" w14:textId="77777777" w:rsidR="00CE14F8" w:rsidRDefault="00CE14F8" w:rsidP="00FA5255">
      <w:r>
        <w:separator/>
      </w:r>
    </w:p>
  </w:endnote>
  <w:endnote w:type="continuationSeparator" w:id="0">
    <w:p w14:paraId="24FDE5F0" w14:textId="77777777" w:rsidR="00CE14F8" w:rsidRDefault="00CE14F8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DA71" w14:textId="77777777" w:rsidR="00CE14F8" w:rsidRDefault="00CE14F8" w:rsidP="00FA5255">
      <w:r>
        <w:separator/>
      </w:r>
    </w:p>
  </w:footnote>
  <w:footnote w:type="continuationSeparator" w:id="0">
    <w:p w14:paraId="6B0BE754" w14:textId="77777777" w:rsidR="00CE14F8" w:rsidRDefault="00CE14F8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03C1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2188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Compet Consult</cp:lastModifiedBy>
  <cp:revision>4</cp:revision>
  <cp:lastPrinted>2021-04-01T07:50:00Z</cp:lastPrinted>
  <dcterms:created xsi:type="dcterms:W3CDTF">2022-06-30T14:00:00Z</dcterms:created>
  <dcterms:modified xsi:type="dcterms:W3CDTF">2022-06-30T14:58:00Z</dcterms:modified>
</cp:coreProperties>
</file>