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77777777" w:rsidR="00296F22" w:rsidRPr="000B49E6" w:rsidRDefault="00296F22" w:rsidP="00296F22">
      <w:pPr>
        <w:pStyle w:val="Hlavika"/>
        <w:pBdr>
          <w:bottom w:val="single" w:sz="4" w:space="1" w:color="auto"/>
        </w:pBdr>
        <w:jc w:val="center"/>
        <w:rPr>
          <w:rFonts w:ascii="Garamond" w:hAnsi="Garamond"/>
          <w:b/>
          <w:noProof w:val="0"/>
          <w:sz w:val="32"/>
        </w:rPr>
      </w:pPr>
      <w:bookmarkStart w:id="0" w:name="ROB_nazov"/>
      <w:r w:rsidRPr="000B49E6">
        <w:rPr>
          <w:rFonts w:ascii="Garamond" w:hAnsi="Garamond"/>
          <w:b/>
          <w:noProof w:val="0"/>
          <w:sz w:val="32"/>
        </w:rPr>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06490066" w14:textId="77777777" w:rsidR="00F57F94" w:rsidRPr="000B49E6" w:rsidRDefault="00F57F94">
      <w:pPr>
        <w:pStyle w:val="Nadpis5"/>
        <w:rPr>
          <w:noProof w:val="0"/>
        </w:rPr>
      </w:pPr>
    </w:p>
    <w:p w14:paraId="39A0F81C" w14:textId="77777777" w:rsidR="00F57F94" w:rsidRPr="000B49E6" w:rsidRDefault="00F57F94">
      <w:pPr>
        <w:pStyle w:val="Zkladntext3"/>
        <w:rPr>
          <w:rFonts w:cs="Arial"/>
          <w:noProof w:val="0"/>
          <w:color w:val="auto"/>
          <w:sz w:val="30"/>
          <w:szCs w:val="30"/>
        </w:rPr>
      </w:pPr>
    </w:p>
    <w:p w14:paraId="6F5B26B5" w14:textId="77777777" w:rsidR="00F57F94" w:rsidRPr="000B49E6" w:rsidRDefault="00F57F94">
      <w:pPr>
        <w:pStyle w:val="Zkladntext3"/>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1EBB5F4A" w:rsidR="008F44E2" w:rsidRPr="00C429C0"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2D11F9">
        <w:rPr>
          <w:rFonts w:cs="Arial"/>
          <w:noProof w:val="0"/>
          <w:color w:val="auto"/>
          <w:sz w:val="30"/>
          <w:szCs w:val="30"/>
        </w:rPr>
        <w:t>17</w:t>
      </w:r>
      <w:r w:rsidRPr="00B748DE">
        <w:rPr>
          <w:rFonts w:cs="Arial"/>
          <w:noProof w:val="0"/>
          <w:color w:val="auto"/>
          <w:sz w:val="30"/>
          <w:szCs w:val="30"/>
        </w:rPr>
        <w:t>/20</w:t>
      </w:r>
      <w:r w:rsidR="002230A5">
        <w:rPr>
          <w:rFonts w:cs="Arial"/>
          <w:noProof w:val="0"/>
          <w:color w:val="auto"/>
          <w:sz w:val="30"/>
          <w:szCs w:val="30"/>
        </w:rPr>
        <w:t>22</w:t>
      </w:r>
    </w:p>
    <w:p w14:paraId="6B449301" w14:textId="063137A5" w:rsidR="0062370E" w:rsidRPr="00C429C0" w:rsidRDefault="002230A5" w:rsidP="00D84065">
      <w:pPr>
        <w:jc w:val="center"/>
        <w:rPr>
          <w:noProof w:val="0"/>
          <w:sz w:val="32"/>
        </w:rPr>
      </w:pPr>
      <w:r>
        <w:rPr>
          <w:noProof w:val="0"/>
          <w:sz w:val="32"/>
        </w:rPr>
        <w:t>Náhradné diely -</w:t>
      </w:r>
      <w:r w:rsidR="002D11F9">
        <w:rPr>
          <w:noProof w:val="0"/>
          <w:sz w:val="32"/>
        </w:rPr>
        <w:t>trolejbusy II</w:t>
      </w:r>
    </w:p>
    <w:p w14:paraId="40C86D46" w14:textId="77777777" w:rsidR="00F57F94" w:rsidRPr="00C429C0" w:rsidRDefault="00F57F94">
      <w:pPr>
        <w:pStyle w:val="Zkladntext3"/>
        <w:rPr>
          <w:rFonts w:cs="Arial"/>
          <w:noProof w:val="0"/>
          <w:color w:val="auto"/>
          <w:sz w:val="30"/>
          <w:szCs w:val="30"/>
        </w:rPr>
      </w:pPr>
    </w:p>
    <w:p w14:paraId="6414DD16" w14:textId="77777777" w:rsidR="00F57F94" w:rsidRPr="00C429C0" w:rsidRDefault="00F57F94">
      <w:pPr>
        <w:pStyle w:val="Zkladntext3"/>
        <w:rPr>
          <w:rFonts w:cs="Arial"/>
          <w:noProof w:val="0"/>
          <w:color w:val="auto"/>
          <w:sz w:val="30"/>
          <w:szCs w:val="30"/>
        </w:rPr>
      </w:pPr>
    </w:p>
    <w:p w14:paraId="0F7279D9" w14:textId="77777777" w:rsidR="00F57F94" w:rsidRPr="00C429C0" w:rsidRDefault="00F57F94">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2C949510"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11F2E11D" w:rsidR="0027643E" w:rsidRDefault="0027643E" w:rsidP="0027643E">
      <w:pPr>
        <w:tabs>
          <w:tab w:val="right" w:leader="dot" w:pos="10080"/>
        </w:tabs>
        <w:ind w:left="5940"/>
        <w:rPr>
          <w:rFonts w:cs="Arial"/>
          <w:noProof w:val="0"/>
        </w:rPr>
      </w:pPr>
      <w:r>
        <w:rPr>
          <w:rFonts w:cs="Arial"/>
          <w:noProof w:val="0"/>
          <w:sz w:val="22"/>
        </w:rPr>
        <w:t xml:space="preserve"> </w:t>
      </w:r>
      <w:r w:rsidR="00A64F38">
        <w:rPr>
          <w:rFonts w:cs="Arial"/>
          <w:noProof w:val="0"/>
          <w:sz w:val="22"/>
        </w:rPr>
        <w:t>PhDr. Kristína Juhászová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5B27637F"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441CDF">
      <w:pPr>
        <w:tabs>
          <w:tab w:val="right" w:leader="dot" w:pos="10080"/>
        </w:tabs>
        <w:ind w:left="5940"/>
        <w:rPr>
          <w:rFonts w:cs="Arial"/>
          <w:sz w:val="22"/>
        </w:rPr>
      </w:pPr>
      <w:r>
        <w:rPr>
          <w:rFonts w:cs="Arial"/>
          <w:sz w:val="22"/>
        </w:rPr>
        <w:t>...................................................</w:t>
      </w:r>
    </w:p>
    <w:p w14:paraId="68E5CFD0" w14:textId="49A5B477" w:rsidR="00441CDF" w:rsidRPr="00441CDF" w:rsidRDefault="00441CDF" w:rsidP="00441CDF">
      <w:pPr>
        <w:tabs>
          <w:tab w:val="right" w:leader="dot" w:pos="10080"/>
        </w:tabs>
        <w:ind w:left="5940"/>
        <w:rPr>
          <w:rFonts w:cs="Arial"/>
          <w:sz w:val="22"/>
        </w:rPr>
      </w:pPr>
      <w:r>
        <w:rPr>
          <w:rFonts w:cs="Arial"/>
          <w:sz w:val="22"/>
        </w:rPr>
        <w:t xml:space="preserve">    </w:t>
      </w:r>
      <w:r w:rsidR="00A95D38">
        <w:rPr>
          <w:rFonts w:cs="Arial"/>
          <w:sz w:val="22"/>
        </w:rPr>
        <w:t>JUDr. Barbora Notová</w:t>
      </w:r>
    </w:p>
    <w:p w14:paraId="7EA104F8" w14:textId="72158BD5" w:rsidR="00441CDF" w:rsidRDefault="00441CDF" w:rsidP="00441CDF">
      <w:pPr>
        <w:tabs>
          <w:tab w:val="right" w:leader="dot" w:pos="10080"/>
        </w:tabs>
        <w:ind w:left="5940"/>
        <w:rPr>
          <w:rFonts w:cs="Arial"/>
          <w:sz w:val="20"/>
        </w:rPr>
      </w:pPr>
      <w:r>
        <w:rPr>
          <w:rFonts w:cs="Arial"/>
          <w:sz w:val="20"/>
        </w:rPr>
        <w:t xml:space="preserve">   vedúci pravnych služieb a </w:t>
      </w:r>
    </w:p>
    <w:p w14:paraId="0BA936C9" w14:textId="28214071" w:rsidR="00441CDF" w:rsidRPr="00441CDF" w:rsidRDefault="00441CDF" w:rsidP="00441CDF">
      <w:pPr>
        <w:tabs>
          <w:tab w:val="right" w:leader="dot" w:pos="10080"/>
        </w:tabs>
        <w:ind w:left="5940"/>
        <w:rPr>
          <w:rFonts w:cs="Arial"/>
          <w:sz w:val="20"/>
        </w:rPr>
      </w:pPr>
      <w:r>
        <w:rPr>
          <w:rFonts w:cs="Arial"/>
          <w:sz w:val="20"/>
        </w:rPr>
        <w:t xml:space="preserve">      verejného obstarávania</w:t>
      </w:r>
    </w:p>
    <w:p w14:paraId="72CC323B" w14:textId="1120F36E"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152D914A" w:rsidR="0027643E" w:rsidRDefault="00441CDF" w:rsidP="0027643E">
      <w:pPr>
        <w:tabs>
          <w:tab w:val="right" w:leader="dot" w:pos="10080"/>
        </w:tabs>
        <w:ind w:left="5940"/>
        <w:rPr>
          <w:rFonts w:cs="Arial"/>
          <w:sz w:val="22"/>
        </w:rPr>
      </w:pPr>
      <w:r>
        <w:rPr>
          <w:rFonts w:cs="Arial"/>
          <w:sz w:val="22"/>
        </w:rPr>
        <w:t xml:space="preserve">  </w:t>
      </w:r>
      <w:r w:rsidR="0027643E">
        <w:rPr>
          <w:rFonts w:cs="Arial"/>
          <w:sz w:val="22"/>
        </w:rPr>
        <w:t>...................................................</w:t>
      </w:r>
    </w:p>
    <w:p w14:paraId="5F4A5269" w14:textId="254DCD1A" w:rsidR="0027643E" w:rsidRPr="00441CDF" w:rsidRDefault="00B748DE" w:rsidP="0027643E">
      <w:pPr>
        <w:tabs>
          <w:tab w:val="right" w:leader="dot" w:pos="10080"/>
        </w:tabs>
        <w:ind w:left="5940"/>
        <w:rPr>
          <w:rFonts w:cs="Arial"/>
          <w:sz w:val="22"/>
        </w:rPr>
      </w:pPr>
      <w:r>
        <w:rPr>
          <w:rFonts w:cs="Arial"/>
          <w:sz w:val="22"/>
        </w:rPr>
        <w:t xml:space="preserve">     </w:t>
      </w:r>
      <w:r w:rsidR="00441CDF">
        <w:rPr>
          <w:rFonts w:cs="Arial"/>
          <w:sz w:val="22"/>
        </w:rPr>
        <w:t xml:space="preserve">   </w:t>
      </w:r>
      <w:r w:rsidRPr="00B748DE">
        <w:rPr>
          <w:rFonts w:cs="Arial"/>
          <w:sz w:val="22"/>
        </w:rPr>
        <w:t>Ing. Andrej Zigmund</w:t>
      </w:r>
    </w:p>
    <w:p w14:paraId="41485D83" w14:textId="71730917" w:rsidR="0027643E" w:rsidRPr="00441CDF" w:rsidRDefault="0027643E" w:rsidP="00A95D38">
      <w:pPr>
        <w:pStyle w:val="Bezriadkovania"/>
        <w:rPr>
          <w:rFonts w:ascii="Garamond" w:hAnsi="Garamond"/>
          <w:sz w:val="20"/>
          <w:szCs w:val="20"/>
        </w:rPr>
      </w:pPr>
      <w:r>
        <w:t xml:space="preserve">                                                                                                                         </w:t>
      </w:r>
      <w:r w:rsidR="00A95D38">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A95D38">
        <w:rPr>
          <w:rFonts w:ascii="Garamond" w:hAnsi="Garamond"/>
          <w:sz w:val="20"/>
          <w:szCs w:val="20"/>
        </w:rPr>
        <w:t>CFO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382772D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E9E0C77"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42C45C7F" w:rsidR="0027643E" w:rsidRDefault="0027643E" w:rsidP="0027643E">
      <w:pPr>
        <w:tabs>
          <w:tab w:val="right" w:leader="dot" w:pos="10080"/>
        </w:tabs>
        <w:ind w:left="5940"/>
        <w:rPr>
          <w:rFonts w:cs="Arial"/>
          <w:sz w:val="20"/>
        </w:rPr>
      </w:pPr>
      <w:r>
        <w:rPr>
          <w:rFonts w:cs="Arial"/>
          <w:sz w:val="20"/>
        </w:rPr>
        <w:t xml:space="preserve">     predseda predstavenstva </w:t>
      </w:r>
    </w:p>
    <w:p w14:paraId="78ABE584" w14:textId="77777777" w:rsidR="00A95D38" w:rsidRDefault="00A95D38" w:rsidP="0027643E">
      <w:pPr>
        <w:tabs>
          <w:tab w:val="right" w:leader="dot" w:pos="10080"/>
        </w:tabs>
        <w:ind w:left="5940"/>
        <w:rPr>
          <w:rFonts w:cs="Arial"/>
          <w:sz w:val="20"/>
        </w:rPr>
      </w:pPr>
    </w:p>
    <w:p w14:paraId="2A2062C2" w14:textId="7509165D" w:rsidR="0027643E" w:rsidRDefault="0027643E" w:rsidP="0027643E">
      <w:pPr>
        <w:tabs>
          <w:tab w:val="right" w:leader="dot" w:pos="10080"/>
        </w:tabs>
        <w:ind w:left="5940"/>
        <w:rPr>
          <w:rFonts w:cs="Arial"/>
          <w:noProof w:val="0"/>
          <w:sz w:val="22"/>
        </w:rPr>
      </w:pPr>
      <w:r>
        <w:rPr>
          <w:rFonts w:cs="Arial"/>
          <w:sz w:val="20"/>
        </w:rPr>
        <w:t xml:space="preserve">           </w:t>
      </w:r>
    </w:p>
    <w:p w14:paraId="3779869E" w14:textId="77799D8D" w:rsidR="00296F22" w:rsidRPr="00441CDF" w:rsidRDefault="00441CDF" w:rsidP="00441CDF">
      <w:pPr>
        <w:rPr>
          <w:rFonts w:ascii="Cambria" w:hAnsi="Cambria"/>
          <w:b/>
          <w:bCs/>
          <w:noProof w:val="0"/>
          <w:color w:val="365F91"/>
          <w:sz w:val="28"/>
          <w:szCs w:val="28"/>
          <w:lang w:eastAsia="en-US"/>
        </w:rPr>
      </w:pPr>
      <w:r>
        <w:lastRenderedPageBreak/>
        <w:t xml:space="preserve"> </w:t>
      </w:r>
      <w:r w:rsidR="00304638" w:rsidRPr="000B49E6">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2B12CE">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2B12CE">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2B12CE">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2B12CE">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2B12CE">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2B12CE">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2B12CE">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2B12CE">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2B12CE">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2B12CE">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2B12CE">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2B12CE">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2B12CE">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2B12CE">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2B12CE">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2B12CE">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2B12CE">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2B12CE">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2B12CE">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2B12CE">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2B12CE">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2B12CE">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2B12CE">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2B12CE">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2B12CE">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2B12CE">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2B12CE">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2B12CE">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2B12CE">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2B12CE">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2B12CE">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2B12CE">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2B12CE">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2B12CE">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2B12CE">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2B12CE">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2B12CE">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2B12CE">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2B12CE">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2B12CE">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2B12CE">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2B12CE">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3D4D3BC7" w:rsidR="00A112C9" w:rsidRDefault="002B12CE">
      <w:pPr>
        <w:pStyle w:val="Obsah2"/>
        <w:tabs>
          <w:tab w:val="left" w:pos="1100"/>
        </w:tabs>
        <w:rPr>
          <w:rFonts w:asciiTheme="minorHAnsi" w:eastAsiaTheme="minorEastAsia" w:hAnsiTheme="minorHAnsi" w:cstheme="minorBidi"/>
          <w:sz w:val="22"/>
          <w:szCs w:val="22"/>
        </w:rPr>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4FFB852B" w14:textId="73959DE0" w:rsidR="00A112C9" w:rsidRDefault="002B12CE">
      <w:pPr>
        <w:pStyle w:val="Obsah2"/>
        <w:tabs>
          <w:tab w:val="left" w:pos="1100"/>
        </w:tabs>
        <w:rPr>
          <w:rFonts w:asciiTheme="minorHAnsi" w:eastAsiaTheme="minorEastAsia" w:hAnsiTheme="minorHAnsi" w:cstheme="minorBidi"/>
          <w:sz w:val="22"/>
          <w:szCs w:val="22"/>
        </w:rPr>
      </w:pPr>
      <w:hyperlink w:anchor="_Toc16684756" w:history="1">
        <w:r w:rsidR="00A112C9" w:rsidRPr="008327D7">
          <w:rPr>
            <w:rStyle w:val="Hypertextovprepojenie"/>
            <w:rFonts w:eastAsia="Calibri"/>
            <w:lang w:eastAsia="en-US"/>
          </w:rPr>
          <w:t>3</w:t>
        </w:r>
        <w:r w:rsidR="003D2303">
          <w:rPr>
            <w:rStyle w:val="Hypertextovprepojenie"/>
            <w:rFonts w:eastAsia="Calibri"/>
            <w:lang w:eastAsia="en-US"/>
          </w:rPr>
          <w:t>6</w:t>
        </w:r>
        <w:r w:rsidR="00A112C9" w:rsidRPr="008327D7">
          <w:rPr>
            <w:rStyle w:val="Hypertextovprepojenie"/>
            <w:rFonts w:eastAsia="Calibri"/>
            <w:lang w:eastAsia="en-US"/>
          </w:rPr>
          <w:t>.</w:t>
        </w:r>
        <w:r w:rsidR="00A112C9">
          <w:rPr>
            <w:rFonts w:asciiTheme="minorHAnsi" w:eastAsiaTheme="minorEastAsia" w:hAnsiTheme="minorHAnsi" w:cstheme="minorBidi"/>
            <w:sz w:val="22"/>
            <w:szCs w:val="22"/>
          </w:rPr>
          <w:tab/>
        </w:r>
        <w:r w:rsidR="00A112C9" w:rsidRPr="008327D7">
          <w:rPr>
            <w:rStyle w:val="Hypertextovprepojenie"/>
            <w:rFonts w:eastAsia="Calibri"/>
          </w:rPr>
          <w:t>Ochrana osobných údajov</w:t>
        </w:r>
        <w:r w:rsidR="00A112C9">
          <w:rPr>
            <w:webHidden/>
          </w:rPr>
          <w:tab/>
        </w:r>
        <w:r w:rsidR="00A112C9">
          <w:rPr>
            <w:webHidden/>
          </w:rPr>
          <w:fldChar w:fldCharType="begin"/>
        </w:r>
        <w:r w:rsidR="00A112C9">
          <w:rPr>
            <w:webHidden/>
          </w:rPr>
          <w:instrText xml:space="preserve"> PAGEREF _Toc16684756 \h </w:instrText>
        </w:r>
        <w:r w:rsidR="00A112C9">
          <w:rPr>
            <w:webHidden/>
          </w:rPr>
        </w:r>
        <w:r w:rsidR="00A112C9">
          <w:rPr>
            <w:webHidden/>
          </w:rPr>
          <w:fldChar w:fldCharType="separate"/>
        </w:r>
        <w:r w:rsidR="00441CDF">
          <w:rPr>
            <w:webHidden/>
          </w:rPr>
          <w:t>24</w:t>
        </w:r>
        <w:r w:rsidR="00A112C9">
          <w:rPr>
            <w:webHidden/>
          </w:rPr>
          <w:fldChar w:fldCharType="end"/>
        </w:r>
      </w:hyperlink>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2A8F8D12" w:rsidR="00A93205" w:rsidRPr="00C62663" w:rsidRDefault="00A93205" w:rsidP="00A93205">
      <w:pPr>
        <w:ind w:firstLine="709"/>
      </w:pPr>
      <w:r w:rsidRPr="00C62663">
        <w:t>Kontaktná osoba:</w:t>
      </w:r>
      <w:r w:rsidRPr="00C62663">
        <w:tab/>
      </w:r>
      <w:r w:rsidR="00A64F38">
        <w:t>PhDr. Kristína Juhászová</w:t>
      </w:r>
    </w:p>
    <w:p w14:paraId="49D3C852" w14:textId="7F64CEA4" w:rsidR="00A93205" w:rsidRPr="00C62663" w:rsidRDefault="00A93205" w:rsidP="00A93205">
      <w:pPr>
        <w:ind w:firstLine="709"/>
      </w:pPr>
      <w:r w:rsidRPr="00C62663">
        <w:t>Telefón:</w:t>
      </w:r>
      <w:r w:rsidRPr="00C62663">
        <w:tab/>
      </w:r>
      <w:r w:rsidRPr="00C62663">
        <w:tab/>
        <w:t>+421</w:t>
      </w:r>
      <w:r>
        <w:t> </w:t>
      </w:r>
      <w:r w:rsidR="00A64F38">
        <w:t>2 59 50 1428</w:t>
      </w:r>
    </w:p>
    <w:p w14:paraId="5CB8D392" w14:textId="77777777" w:rsidR="00A93205" w:rsidRPr="00C62663" w:rsidRDefault="00A93205" w:rsidP="00A93205">
      <w:pPr>
        <w:ind w:firstLine="709"/>
      </w:pPr>
      <w:r w:rsidRPr="00C62663">
        <w:t>FAX:</w:t>
      </w:r>
      <w:r w:rsidRPr="00C62663">
        <w:tab/>
      </w:r>
      <w:r w:rsidRPr="00C62663">
        <w:tab/>
      </w:r>
      <w:r w:rsidRPr="00C62663">
        <w:tab/>
        <w:t>+421 2 59 50 1301</w:t>
      </w:r>
    </w:p>
    <w:p w14:paraId="39996374" w14:textId="12A425C4" w:rsidR="00A93205" w:rsidRPr="00C62663" w:rsidRDefault="00A93205" w:rsidP="00A93205">
      <w:pPr>
        <w:ind w:firstLine="709"/>
      </w:pPr>
      <w:r w:rsidRPr="00C62663">
        <w:t>E-mail:</w:t>
      </w:r>
      <w:r w:rsidRPr="00C62663">
        <w:tab/>
      </w:r>
      <w:r w:rsidRPr="00C62663">
        <w:tab/>
      </w:r>
      <w:r w:rsidRPr="00C62663">
        <w:tab/>
      </w:r>
      <w:hyperlink r:id="rId10" w:history="1">
        <w:r w:rsidR="002230A5">
          <w:rPr>
            <w:rStyle w:val="Hypertextovprepojenie"/>
          </w:rPr>
          <w:t>juhaszova.kristina</w:t>
        </w:r>
        <w:r w:rsidR="002230A5" w:rsidRPr="00C62663">
          <w:rPr>
            <w:rStyle w:val="Hypertextovprepojenie"/>
          </w:rPr>
          <w:t xml:space="preserve"> </w:t>
        </w:r>
        <w:r w:rsidRPr="00C62663">
          <w:rPr>
            <w:rStyle w:val="Hypertextovprepojenie"/>
          </w:rPr>
          <w:t>@dpb.sk</w:t>
        </w:r>
      </w:hyperlink>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B28B5">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1"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2"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3"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0"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w:t>
      </w:r>
      <w:r w:rsidRPr="00977427">
        <w:rPr>
          <w:rFonts w:eastAsia="Calibri"/>
          <w:lang w:eastAsia="en-US"/>
        </w:rPr>
        <w:lastRenderedPageBreak/>
        <w:t xml:space="preserve">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w:t>
      </w:r>
      <w:proofErr w:type="spellStart"/>
      <w:r w:rsidRPr="004A3D36">
        <w:rPr>
          <w:rFonts w:cstheme="minorHAnsi"/>
          <w:noProof w:val="0"/>
        </w:rPr>
        <w:t>eID</w:t>
      </w:r>
      <w:proofErr w:type="spellEnd"/>
      <w:r w:rsidRPr="004A3D36">
        <w:rPr>
          <w:rFonts w:cstheme="minorHAnsi"/>
          <w:noProof w:val="0"/>
        </w:rPr>
        <w:t>)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143F5159" w14:textId="77777777"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a)</w:t>
      </w:r>
      <w:r w:rsidRPr="004A3D36">
        <w:rPr>
          <w:rFonts w:cstheme="minorHAnsi"/>
          <w:noProof w:val="0"/>
        </w:rPr>
        <w:tab/>
        <w:t>v systéme JOSEPHINE registráciou a prihlásením pomocou občianskeho preukazu s elektronickým čipom a bezpečnostným osobnostným kódom (</w:t>
      </w:r>
      <w:proofErr w:type="spellStart"/>
      <w:r w:rsidRPr="004A3D36">
        <w:rPr>
          <w:rFonts w:cstheme="minorHAnsi"/>
          <w:noProof w:val="0"/>
        </w:rPr>
        <w:t>eID</w:t>
      </w:r>
      <w:proofErr w:type="spellEnd"/>
      <w:r w:rsidRPr="004A3D36">
        <w:rPr>
          <w:rFonts w:cstheme="minorHAnsi"/>
          <w:noProof w:val="0"/>
        </w:rPr>
        <w:t xml:space="preserve">). V systéme je autentifikovaná spoločnosť, ktorú pomocou </w:t>
      </w:r>
      <w:proofErr w:type="spellStart"/>
      <w:r w:rsidRPr="004A3D36">
        <w:rPr>
          <w:rFonts w:cstheme="minorHAnsi"/>
          <w:noProof w:val="0"/>
        </w:rPr>
        <w:t>eID</w:t>
      </w:r>
      <w:proofErr w:type="spellEnd"/>
      <w:r w:rsidRPr="004A3D36">
        <w:rPr>
          <w:rFonts w:cstheme="minorHAnsi"/>
          <w:noProof w:val="0"/>
        </w:rPr>
        <w:t xml:space="preserve"> registruje štatutár danej spoločnosti. Autentifikáciu vykonáva poskytovateľ systému JOSEPHINE a to v pracovných dňoch v čase 8.00 – 16.00 hod. </w:t>
      </w:r>
    </w:p>
    <w:p w14:paraId="5C208651" w14:textId="77777777" w:rsidR="004A3D36" w:rsidRPr="004A3D36" w:rsidRDefault="004A3D36" w:rsidP="004A3D36">
      <w:pPr>
        <w:tabs>
          <w:tab w:val="num" w:pos="284"/>
        </w:tabs>
        <w:spacing w:after="120"/>
        <w:ind w:left="851" w:hanging="284"/>
        <w:jc w:val="both"/>
        <w:rPr>
          <w:noProof w:val="0"/>
        </w:rPr>
      </w:pPr>
      <w:r w:rsidRPr="004A3D36">
        <w:rPr>
          <w:noProof w:val="0"/>
        </w:rPr>
        <w:t xml:space="preserve">b) </w:t>
      </w:r>
      <w:r w:rsidRPr="004A3D36">
        <w:rPr>
          <w:noProof w:val="0"/>
        </w:rPr>
        <w:tab/>
        <w:t xml:space="preserve">nahraním kvalifikovaného elektronického podpisu (napríklad podpisu </w:t>
      </w:r>
      <w:proofErr w:type="spellStart"/>
      <w:r w:rsidRPr="004A3D36">
        <w:rPr>
          <w:noProof w:val="0"/>
        </w:rPr>
        <w:t>eID</w:t>
      </w:r>
      <w:proofErr w:type="spellEnd"/>
      <w:r w:rsidRPr="004A3D36">
        <w:rPr>
          <w:noProof w:val="0"/>
        </w:rPr>
        <w:t>)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4A3D36" w:rsidRDefault="004A3D36" w:rsidP="004A3D36">
      <w:pPr>
        <w:tabs>
          <w:tab w:val="num" w:pos="284"/>
        </w:tabs>
        <w:spacing w:after="120"/>
        <w:ind w:left="851" w:hanging="284"/>
        <w:jc w:val="both"/>
        <w:rPr>
          <w:rFonts w:cstheme="minorHAnsi"/>
          <w:noProof w:val="0"/>
        </w:rPr>
      </w:pPr>
      <w:r w:rsidRPr="004A3D36">
        <w:rPr>
          <w:noProof w:val="0"/>
        </w:rPr>
        <w:t xml:space="preserve">c) </w:t>
      </w:r>
      <w:r w:rsidRPr="004A3D36">
        <w:rPr>
          <w:noProof w:val="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d)</w:t>
      </w:r>
      <w:r w:rsidRPr="004A3D36">
        <w:rPr>
          <w:rFonts w:cstheme="minorHAnsi"/>
          <w:noProof w:val="0"/>
        </w:rPr>
        <w:tab/>
        <w:t xml:space="preserve">počkaním na autentifikačný kód, ktorý bude poslaný na adresu sídla firmy do rúk štatutára </w:t>
      </w:r>
      <w:r>
        <w:rPr>
          <w:rFonts w:cstheme="minorHAnsi"/>
          <w:noProof w:val="0"/>
        </w:rPr>
        <w:t>záujemcu</w:t>
      </w:r>
      <w:r w:rsidRPr="004A3D36">
        <w:rPr>
          <w:rFonts w:cstheme="minorHAnsi"/>
          <w:noProof w:val="0"/>
        </w:rPr>
        <w:t xml:space="preserve"> v listovej podobe formou doporučenej pošty. Lehota na tento úkon sú obvykle 3 pracovné dni a je potrebné s touto lehotou počítať pri vkladaní </w:t>
      </w:r>
      <w:r>
        <w:rPr>
          <w:rFonts w:cstheme="minorHAnsi"/>
          <w:noProof w:val="0"/>
        </w:rPr>
        <w:t>žiadosti</w:t>
      </w:r>
      <w:r w:rsidRPr="004A3D36">
        <w:rPr>
          <w:rFonts w:cstheme="minorHAnsi"/>
          <w:noProof w:val="0"/>
        </w:rPr>
        <w:t>.</w:t>
      </w:r>
    </w:p>
    <w:p w14:paraId="4AF31F9E" w14:textId="0ABE8B64" w:rsidR="004A3D36" w:rsidRPr="004A3D36" w:rsidRDefault="004A3D36" w:rsidP="004A3D36">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249A9F76" w14:textId="77777777" w:rsidR="00B204E1" w:rsidRPr="00B204E1" w:rsidRDefault="00B204E1"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77777777" w:rsidR="00B204E1" w:rsidRPr="00B204E1" w:rsidRDefault="00B204E1" w:rsidP="004B28B5">
      <w:pPr>
        <w:pStyle w:val="Nadpis1"/>
        <w:rPr>
          <w:lang w:eastAsia="cs-CZ"/>
        </w:rPr>
      </w:pPr>
      <w:bookmarkStart w:id="11" w:name="_Toc16684711"/>
      <w:r w:rsidRPr="00B204E1">
        <w:rPr>
          <w:lang w:eastAsia="cs-CZ"/>
        </w:rPr>
        <w:t>INFORMÁCIE O PREDMETE ZÁKAZKY</w:t>
      </w:r>
      <w:bookmarkEnd w:id="11"/>
    </w:p>
    <w:p w14:paraId="0D8B8A22" w14:textId="2081BDCF" w:rsidR="00B204E1" w:rsidRPr="00B204E1" w:rsidRDefault="004B28B5" w:rsidP="004B28B5">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07B5F802" w:rsidR="00B204E1" w:rsidRPr="00D35129" w:rsidRDefault="00B204E1" w:rsidP="004B28B5">
      <w:pPr>
        <w:numPr>
          <w:ilvl w:val="1"/>
          <w:numId w:val="8"/>
        </w:numPr>
        <w:tabs>
          <w:tab w:val="left" w:pos="2160"/>
          <w:tab w:val="left" w:pos="2880"/>
          <w:tab w:val="left" w:pos="4500"/>
        </w:tabs>
        <w:spacing w:line="276" w:lineRule="auto"/>
        <w:jc w:val="both"/>
        <w:rPr>
          <w:rFonts w:cs="Arial"/>
          <w:b/>
          <w:sz w:val="22"/>
          <w:szCs w:val="22"/>
        </w:rPr>
      </w:pPr>
      <w:r w:rsidRPr="00D35129">
        <w:rPr>
          <w:rFonts w:cs="Arial"/>
          <w:sz w:val="22"/>
          <w:szCs w:val="22"/>
        </w:rPr>
        <w:t xml:space="preserve">Názov predmetu zákazky: </w:t>
      </w:r>
      <w:r w:rsidR="002B12CE" w:rsidRPr="002B12CE">
        <w:rPr>
          <w:rFonts w:cs="Arial"/>
          <w:b/>
          <w:bCs/>
          <w:sz w:val="22"/>
          <w:szCs w:val="22"/>
        </w:rPr>
        <w:t>Dynamický nákupný systéme</w:t>
      </w:r>
      <w:r w:rsidR="002B12CE">
        <w:rPr>
          <w:rFonts w:cs="Arial"/>
          <w:sz w:val="22"/>
          <w:szCs w:val="22"/>
        </w:rPr>
        <w:t>_</w:t>
      </w:r>
      <w:r w:rsidR="002230A5">
        <w:rPr>
          <w:rFonts w:cs="Arial"/>
          <w:b/>
          <w:sz w:val="22"/>
          <w:szCs w:val="22"/>
        </w:rPr>
        <w:t xml:space="preserve">Náhradné diely </w:t>
      </w:r>
      <w:r w:rsidR="002D11F9">
        <w:rPr>
          <w:rFonts w:cs="Arial"/>
          <w:b/>
          <w:sz w:val="22"/>
          <w:szCs w:val="22"/>
        </w:rPr>
        <w:t>–</w:t>
      </w:r>
      <w:r w:rsidR="002230A5">
        <w:rPr>
          <w:rFonts w:cs="Arial"/>
          <w:b/>
          <w:sz w:val="22"/>
          <w:szCs w:val="22"/>
        </w:rPr>
        <w:t xml:space="preserve"> </w:t>
      </w:r>
      <w:r w:rsidR="002D11F9">
        <w:rPr>
          <w:rFonts w:cs="Arial"/>
          <w:b/>
          <w:sz w:val="22"/>
          <w:szCs w:val="22"/>
        </w:rPr>
        <w:t>trolejbusy II</w:t>
      </w:r>
      <w:r w:rsidR="004B28B5" w:rsidRPr="00D35129">
        <w:rPr>
          <w:rFonts w:cs="Arial"/>
          <w:b/>
          <w:sz w:val="22"/>
          <w:szCs w:val="22"/>
        </w:rPr>
        <w:t xml:space="preserve"> </w:t>
      </w:r>
    </w:p>
    <w:p w14:paraId="3361A23D" w14:textId="77777777" w:rsidR="00B204E1" w:rsidRPr="00B204E1" w:rsidRDefault="00B204E1" w:rsidP="00B204E1">
      <w:pPr>
        <w:numPr>
          <w:ilvl w:val="1"/>
          <w:numId w:val="8"/>
        </w:numPr>
        <w:tabs>
          <w:tab w:val="left" w:pos="2160"/>
          <w:tab w:val="left" w:pos="2880"/>
          <w:tab w:val="left" w:pos="4500"/>
        </w:tabs>
        <w:spacing w:line="276" w:lineRule="auto"/>
        <w:jc w:val="both"/>
        <w:rPr>
          <w:rFonts w:cs="Arial"/>
          <w:sz w:val="22"/>
        </w:rPr>
      </w:pPr>
      <w:r w:rsidRPr="00B204E1">
        <w:rPr>
          <w:rFonts w:cs="Arial"/>
          <w:sz w:val="22"/>
        </w:rPr>
        <w:t xml:space="preserve"> Povaha predpokladaných nákupov v rámci dynamického nákupného systému: </w:t>
      </w:r>
    </w:p>
    <w:p w14:paraId="4399D0F5" w14:textId="348EBEBC" w:rsidR="00B204E1" w:rsidRPr="00B204E1" w:rsidRDefault="00B204E1" w:rsidP="00B204E1">
      <w:pPr>
        <w:tabs>
          <w:tab w:val="left" w:pos="2160"/>
          <w:tab w:val="left" w:pos="2880"/>
          <w:tab w:val="left" w:pos="4500"/>
        </w:tabs>
        <w:spacing w:line="276" w:lineRule="auto"/>
        <w:ind w:left="426"/>
        <w:jc w:val="both"/>
        <w:rPr>
          <w:rFonts w:cs="Arial"/>
          <w:color w:val="000000"/>
          <w:sz w:val="22"/>
        </w:rPr>
      </w:pPr>
      <w:r w:rsidRPr="00B204E1">
        <w:rPr>
          <w:rFonts w:cs="Arial"/>
          <w:sz w:val="22"/>
        </w:rPr>
        <w:t xml:space="preserve">Povaha predpokladaných nákupov v rámci dynamického nákupného systému tvorí prílohu č. 1. </w:t>
      </w:r>
      <w:r w:rsidR="003A7C91">
        <w:rPr>
          <w:rFonts w:cs="Arial"/>
          <w:sz w:val="22"/>
        </w:rPr>
        <w:t xml:space="preserve">Opis predmetu </w:t>
      </w:r>
      <w:r w:rsidRPr="00B204E1">
        <w:rPr>
          <w:rFonts w:cs="Arial"/>
          <w:sz w:val="22"/>
        </w:rPr>
        <w:t xml:space="preserve"> zákazky</w:t>
      </w:r>
      <w:r w:rsidRPr="00B204E1">
        <w:rPr>
          <w:rFonts w:cs="Arial"/>
          <w:color w:val="000000"/>
          <w:sz w:val="22"/>
        </w:rPr>
        <w:t xml:space="preserve"> týchto súťažných podkladov.</w:t>
      </w:r>
    </w:p>
    <w:p w14:paraId="283C4327" w14:textId="610EB456" w:rsidR="00B204E1" w:rsidRPr="00B204E1" w:rsidRDefault="00067B13" w:rsidP="00067B13">
      <w:pPr>
        <w:pStyle w:val="Nadpis2"/>
        <w:numPr>
          <w:ilvl w:val="0"/>
          <w:numId w:val="15"/>
        </w:numPr>
        <w:jc w:val="both"/>
        <w:rPr>
          <w:lang w:eastAsia="cs-CZ"/>
        </w:rPr>
      </w:pPr>
      <w:bookmarkStart w:id="13" w:name="nazov1"/>
      <w:bookmarkStart w:id="14" w:name="_Toc16684713"/>
      <w:bookmarkEnd w:id="13"/>
      <w:r>
        <w:rPr>
          <w:lang w:eastAsia="cs-CZ"/>
        </w:rPr>
        <w:lastRenderedPageBreak/>
        <w:t>R</w:t>
      </w:r>
      <w:r w:rsidR="00B204E1" w:rsidRPr="00B204E1">
        <w:rPr>
          <w:lang w:eastAsia="cs-CZ"/>
        </w:rPr>
        <w:t>ozsah zákazky podľa skupiny alebo jej časti zadávanej v rámci dynamického nákupného systému vymedzený cpv kódmi</w:t>
      </w:r>
      <w:bookmarkEnd w:id="14"/>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5" w:name="SS"/>
      <w:bookmarkEnd w:id="15"/>
    </w:p>
    <w:p w14:paraId="47C971E2" w14:textId="5A23833E" w:rsidR="00B204E1" w:rsidRPr="00D35129" w:rsidRDefault="00B204E1" w:rsidP="00B204E1">
      <w:pPr>
        <w:spacing w:line="276" w:lineRule="auto"/>
        <w:ind w:left="3402"/>
        <w:jc w:val="both"/>
        <w:rPr>
          <w:rFonts w:cs="Arial"/>
          <w:sz w:val="22"/>
          <w:szCs w:val="22"/>
        </w:rPr>
      </w:pPr>
      <w:r w:rsidRPr="00D35129">
        <w:rPr>
          <w:rFonts w:cs="Arial"/>
          <w:sz w:val="22"/>
          <w:szCs w:val="22"/>
        </w:rPr>
        <w:t>Hlavný slovník:</w:t>
      </w:r>
      <w:r w:rsidRPr="00D35129">
        <w:rPr>
          <w:rFonts w:cs="Arial"/>
          <w:sz w:val="22"/>
          <w:szCs w:val="22"/>
        </w:rPr>
        <w:tab/>
      </w:r>
      <w:r w:rsidRPr="00D35129">
        <w:rPr>
          <w:rFonts w:cs="Arial"/>
          <w:sz w:val="22"/>
          <w:szCs w:val="22"/>
        </w:rPr>
        <w:tab/>
      </w:r>
      <w:r w:rsidRPr="00D35129">
        <w:rPr>
          <w:rFonts w:cs="Arial"/>
          <w:sz w:val="22"/>
          <w:szCs w:val="22"/>
        </w:rPr>
        <w:tab/>
      </w:r>
      <w:r w:rsidRPr="00D35129">
        <w:rPr>
          <w:rFonts w:cs="Arial"/>
          <w:sz w:val="22"/>
          <w:szCs w:val="22"/>
        </w:rPr>
        <w:tab/>
      </w:r>
    </w:p>
    <w:p w14:paraId="74D0DD96" w14:textId="67F005BB" w:rsidR="002230A5" w:rsidRPr="003A7C91" w:rsidRDefault="00B204E1" w:rsidP="002230A5">
      <w:pPr>
        <w:pStyle w:val="Odsekzoznamu"/>
        <w:spacing w:after="0" w:line="240" w:lineRule="auto"/>
        <w:ind w:left="1125"/>
        <w:rPr>
          <w:rFonts w:ascii="Garamond" w:hAnsi="Garamond"/>
          <w:b/>
        </w:rPr>
      </w:pPr>
      <w:r w:rsidRPr="003A7C91">
        <w:rPr>
          <w:rFonts w:ascii="Garamond" w:hAnsi="Garamond" w:cs="Arial"/>
        </w:rPr>
        <w:t>Hlavný predmet:</w:t>
      </w:r>
      <w:r w:rsidRPr="003A7C91">
        <w:rPr>
          <w:rFonts w:ascii="Garamond" w:hAnsi="Garamond" w:cs="Arial"/>
        </w:rPr>
        <w:tab/>
      </w:r>
      <w:r w:rsidR="003A7C91" w:rsidRPr="003A7C91">
        <w:rPr>
          <w:rFonts w:ascii="Garamond" w:hAnsi="Garamond" w:cs="Arial"/>
        </w:rPr>
        <w:t xml:space="preserve">           </w:t>
      </w:r>
      <w:r w:rsidR="00A226D7" w:rsidRPr="00A226D7">
        <w:rPr>
          <w:rFonts w:ascii="Garamond" w:hAnsi="Garamond"/>
          <w:b/>
        </w:rPr>
        <w:t>34913000-0 Rôzne náhradné diely</w:t>
      </w:r>
    </w:p>
    <w:p w14:paraId="4F06E1EE" w14:textId="0BD1BA1B" w:rsidR="00B204E1" w:rsidRPr="003A7C91" w:rsidRDefault="00B204E1" w:rsidP="002230A5">
      <w:pPr>
        <w:spacing w:line="276" w:lineRule="auto"/>
        <w:ind w:left="567"/>
        <w:jc w:val="both"/>
        <w:rPr>
          <w:rFonts w:cs="Arial"/>
          <w:sz w:val="20"/>
          <w:szCs w:val="20"/>
        </w:rPr>
      </w:pPr>
    </w:p>
    <w:p w14:paraId="56163E01" w14:textId="53E6D21F" w:rsidR="00B204E1" w:rsidRPr="00B204E1" w:rsidRDefault="003C0DB0" w:rsidP="003C0DB0">
      <w:pPr>
        <w:pStyle w:val="Nadpis2"/>
        <w:numPr>
          <w:ilvl w:val="0"/>
          <w:numId w:val="15"/>
        </w:numPr>
        <w:jc w:val="left"/>
        <w:rPr>
          <w:lang w:eastAsia="cs-CZ"/>
        </w:rPr>
      </w:pPr>
      <w:bookmarkStart w:id="16" w:name="opis1"/>
      <w:bookmarkStart w:id="17" w:name="_Toc16684714"/>
      <w:bookmarkEnd w:id="16"/>
      <w:r>
        <w:rPr>
          <w:lang w:eastAsia="cs-CZ"/>
        </w:rPr>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77777777" w:rsidR="00B204E1" w:rsidRPr="00B204E1" w:rsidRDefault="00B204E1" w:rsidP="00B204E1">
      <w:pPr>
        <w:spacing w:line="276" w:lineRule="auto"/>
        <w:ind w:left="426" w:hanging="66"/>
        <w:jc w:val="both"/>
        <w:rPr>
          <w:rFonts w:cs="Arial"/>
          <w:sz w:val="22"/>
          <w:szCs w:val="22"/>
        </w:rPr>
      </w:pPr>
      <w:r w:rsidRPr="00B204E1">
        <w:rPr>
          <w:rFonts w:cs="Arial"/>
          <w:sz w:val="22"/>
          <w:szCs w:val="22"/>
        </w:rPr>
        <w:t xml:space="preserve"> Konkrétne miesta poskytnutia predmetu konkrétnych zákaziek zadávaných v rámci dynamického nákupného systému budú uvedené v príslušnej výzve na predkladanie ponúk.  </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3C0DB0">
      <w:pPr>
        <w:pStyle w:val="Nadpis2"/>
        <w:numPr>
          <w:ilvl w:val="0"/>
          <w:numId w:val="15"/>
        </w:numPr>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65AD756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11517C85"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7E22A3C0" w14:textId="11F0E7C0" w:rsidR="00A95D38" w:rsidRDefault="00A95D38" w:rsidP="00B204E1">
      <w:pPr>
        <w:shd w:val="clear" w:color="auto" w:fill="FFFFFF"/>
        <w:spacing w:line="276" w:lineRule="auto"/>
        <w:ind w:left="426"/>
        <w:jc w:val="both"/>
        <w:rPr>
          <w:rFonts w:eastAsia="Calibri" w:cs="Arial"/>
          <w:sz w:val="22"/>
          <w:szCs w:val="22"/>
          <w:lang w:eastAsia="en-US"/>
        </w:rPr>
      </w:pPr>
    </w:p>
    <w:p w14:paraId="6D003D64" w14:textId="77777777" w:rsidR="00A95D38" w:rsidRPr="00B204E1" w:rsidRDefault="00A95D38" w:rsidP="00A95D38">
      <w:pPr>
        <w:shd w:val="clear" w:color="auto" w:fill="FFFFFF"/>
        <w:spacing w:line="276" w:lineRule="auto"/>
        <w:ind w:left="426"/>
        <w:jc w:val="both"/>
        <w:rPr>
          <w:rFonts w:eastAsia="Calibri" w:cs="Arial"/>
          <w:sz w:val="22"/>
          <w:szCs w:val="22"/>
          <w:lang w:eastAsia="en-US"/>
        </w:rPr>
      </w:pPr>
      <w:r w:rsidRPr="00116993">
        <w:rPr>
          <w:rFonts w:eastAsia="Calibri" w:cs="Arial"/>
          <w:color w:val="FF0000"/>
          <w:sz w:val="22"/>
          <w:szCs w:val="22"/>
          <w:lang w:eastAsia="en-US"/>
        </w:rPr>
        <w:t xml:space="preserve">Výsledkom konkrétnych zákaziek </w:t>
      </w:r>
      <w:r w:rsidRPr="00116993">
        <w:rPr>
          <w:rFonts w:cs="Arial"/>
          <w:color w:val="FF0000"/>
          <w:sz w:val="22"/>
          <w:szCs w:val="22"/>
        </w:rPr>
        <w:t>bude na základe jednotlivých</w:t>
      </w:r>
      <w:r>
        <w:rPr>
          <w:rFonts w:cs="Arial"/>
          <w:color w:val="FF0000"/>
          <w:sz w:val="22"/>
          <w:szCs w:val="22"/>
        </w:rPr>
        <w:t xml:space="preserve"> výzivev</w:t>
      </w:r>
      <w:r w:rsidRPr="00116993">
        <w:rPr>
          <w:rFonts w:cs="Arial"/>
          <w:color w:val="FF0000"/>
          <w:sz w:val="22"/>
          <w:szCs w:val="22"/>
        </w:rPr>
        <w:t xml:space="preserve"> objednáv</w:t>
      </w:r>
      <w:r>
        <w:rPr>
          <w:rFonts w:cs="Arial"/>
          <w:color w:val="FF0000"/>
          <w:sz w:val="22"/>
          <w:szCs w:val="22"/>
        </w:rPr>
        <w:t>ka</w:t>
      </w:r>
      <w:r w:rsidRPr="00116993">
        <w:rPr>
          <w:rFonts w:cs="Arial"/>
          <w:color w:val="FF0000"/>
          <w:sz w:val="22"/>
          <w:szCs w:val="22"/>
        </w:rPr>
        <w:t xml:space="preserve"> s VOP.</w:t>
      </w:r>
    </w:p>
    <w:p w14:paraId="61F772E9" w14:textId="77777777" w:rsidR="00A95D38" w:rsidRPr="00B204E1" w:rsidRDefault="00A95D38" w:rsidP="00B204E1">
      <w:pPr>
        <w:shd w:val="clear" w:color="auto" w:fill="FFFFFF"/>
        <w:spacing w:line="276" w:lineRule="auto"/>
        <w:ind w:left="426"/>
        <w:jc w:val="both"/>
        <w:rPr>
          <w:rFonts w:eastAsia="Calibri" w:cs="Arial"/>
          <w:sz w:val="22"/>
          <w:szCs w:val="22"/>
          <w:lang w:eastAsia="en-US"/>
        </w:rPr>
      </w:pP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End w:id="20"/>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1" w:name="financovanie"/>
      <w:bookmarkEnd w:id="21"/>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746C83F9"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2D11F9" w:rsidRPr="002D11F9">
        <w:rPr>
          <w:rFonts w:eastAsiaTheme="minorHAnsi" w:cs="Calibri"/>
          <w:b/>
          <w:bCs/>
          <w:sz w:val="22"/>
          <w:szCs w:val="22"/>
        </w:rPr>
        <w:t>3 467 692,00</w:t>
      </w:r>
      <w:r w:rsidR="002D11F9">
        <w:rPr>
          <w:rFonts w:eastAsiaTheme="minorHAnsi" w:cs="Calibri"/>
          <w:b/>
          <w:bCs/>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B204E1">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lastRenderedPageBreak/>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5" w:name="_Toc16684720"/>
      <w:r>
        <w:t>O</w:t>
      </w:r>
      <w:r w:rsidR="00B204E1" w:rsidRPr="003C0DB0">
        <w:t>bsah žiadosti o účasť</w:t>
      </w:r>
      <w:bookmarkEnd w:id="25"/>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16684721"/>
      <w:r>
        <w:t>P</w:t>
      </w:r>
      <w:r w:rsidR="00B204E1" w:rsidRPr="003C0DB0">
        <w:rPr>
          <w:rFonts w:eastAsia="Calibri"/>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773A8161"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8A29D4">
        <w:rPr>
          <w:rFonts w:eastAsia="Calibri" w:cs="Arial"/>
          <w:sz w:val="22"/>
          <w:szCs w:val="22"/>
          <w:lang w:eastAsia="en-US"/>
        </w:rPr>
        <w:t xml:space="preserve">. </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w:t>
      </w:r>
      <w:r w:rsidRPr="00B204E1">
        <w:rPr>
          <w:rFonts w:eastAsia="Calibri"/>
          <w:sz w:val="22"/>
          <w:szCs w:val="22"/>
          <w:lang w:eastAsia="en-US"/>
        </w:rPr>
        <w:lastRenderedPageBreak/>
        <w:t xml:space="preserve">v elektronickej forme, uchádzač v rámci svojej žiadosti o účasť, tieto doklady predkladá v pôvodnej elektronickej podobe. </w:t>
      </w:r>
    </w:p>
    <w:p w14:paraId="4944C19C" w14:textId="381E213A"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012CAD">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4" w:name="_Toc16684722"/>
      <w:r w:rsidRPr="00F01689">
        <w:t>O</w:t>
      </w:r>
      <w:r w:rsidR="00B204E1" w:rsidRPr="00F01689">
        <w:rPr>
          <w:rStyle w:val="Nadpis2Char"/>
          <w:rFonts w:eastAsia="Calibri"/>
          <w:b/>
          <w:bCs/>
        </w:rPr>
        <w:t>právnenie predložiť žiadosť o účasť a späťvzatie žiadosti o účasť</w:t>
      </w:r>
      <w:bookmarkEnd w:id="34"/>
    </w:p>
    <w:p w14:paraId="2F665916" w14:textId="58E0321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003D2303"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D2303">
        <w:rPr>
          <w:rFonts w:eastAsia="Calibri"/>
          <w:sz w:val="22"/>
          <w:szCs w:val="22"/>
          <w:lang w:eastAsia="en-US"/>
        </w:rPr>
        <w:t>obstarávateľskej organizácii</w:t>
      </w:r>
      <w:r w:rsidR="003D2303"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3D2303">
        <w:rPr>
          <w:rFonts w:eastAsia="Calibri"/>
          <w:sz w:val="22"/>
          <w:szCs w:val="22"/>
          <w:lang w:eastAsia="en-US"/>
        </w:rPr>
        <w:t> danom procese</w:t>
      </w:r>
      <w:r w:rsidR="003D2303" w:rsidRPr="00B204E1">
        <w:rPr>
          <w:rFonts w:eastAsia="Calibri"/>
          <w:sz w:val="22"/>
          <w:szCs w:val="22"/>
          <w:lang w:eastAsia="en-US"/>
        </w:rPr>
        <w:t>.</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F8DA3A1"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77CB4ACD" w14:textId="77777777" w:rsidR="00813489" w:rsidRPr="00B204E1" w:rsidRDefault="00813489"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5"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lastRenderedPageBreak/>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6" w:name="_Toc16684724"/>
      <w:r w:rsidRPr="00F01689">
        <w:rPr>
          <w:rFonts w:eastAsia="Calibri"/>
          <w:lang w:eastAsia="en-US"/>
        </w:rPr>
        <w:t>P</w:t>
      </w:r>
      <w:r w:rsidR="00B204E1" w:rsidRPr="00F01689">
        <w:rPr>
          <w:rFonts w:eastAsia="Calibri"/>
          <w:lang w:eastAsia="en-US"/>
        </w:rPr>
        <w:t>osúdenie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t xml:space="preserve"> </w:t>
      </w:r>
      <w:bookmarkStart w:id="37"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7"/>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39C8FA6" w14:textId="6542C064" w:rsidR="00B204E1" w:rsidRPr="003D2303" w:rsidRDefault="003D2303" w:rsidP="003D2303">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Pr="00B204E1">
        <w:rPr>
          <w:rFonts w:eastAsia="Calibri" w:cs="Arial"/>
          <w:sz w:val="22"/>
          <w:szCs w:val="22"/>
          <w:lang w:eastAsia="en-US"/>
        </w:rPr>
        <w:t xml:space="preserve"> podľa zákona (ak je to relevantné) písomne </w:t>
      </w:r>
      <w:r w:rsidRPr="00B204E1">
        <w:rPr>
          <w:rFonts w:eastAsia="Calibri"/>
          <w:sz w:val="22"/>
          <w:szCs w:val="22"/>
          <w:lang w:eastAsia="en-US"/>
        </w:rPr>
        <w:t xml:space="preserve">– elektronicky, spôsobom určeným funkcionalitou </w:t>
      </w:r>
      <w:r>
        <w:rPr>
          <w:rFonts w:eastAsia="Calibri"/>
          <w:sz w:val="22"/>
          <w:szCs w:val="22"/>
          <w:lang w:eastAsia="en-US"/>
        </w:rPr>
        <w:t>JOSEPHINE</w:t>
      </w:r>
      <w:r w:rsidRPr="00B204E1">
        <w:rPr>
          <w:rFonts w:eastAsia="Calibri"/>
          <w:sz w:val="22"/>
          <w:szCs w:val="22"/>
          <w:lang w:eastAsia="en-US"/>
        </w:rPr>
        <w:t>,</w:t>
      </w:r>
      <w:r w:rsidRPr="00B204E1">
        <w:rPr>
          <w:rFonts w:eastAsia="Calibri" w:cs="Arial"/>
          <w:sz w:val="22"/>
          <w:szCs w:val="22"/>
          <w:lang w:eastAsia="en-US"/>
        </w:rPr>
        <w:t xml:space="preserve"> požiada záujemcu, </w:t>
      </w:r>
      <w:r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End w:id="40"/>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1" w:name="_Toc16684726"/>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ECB0BA2" w14:textId="7C0B3028" w:rsidR="00B204E1" w:rsidRPr="00D84065" w:rsidRDefault="00D84065" w:rsidP="00D84065">
      <w:pPr>
        <w:pStyle w:val="Nadpis2"/>
        <w:numPr>
          <w:ilvl w:val="0"/>
          <w:numId w:val="22"/>
        </w:numPr>
        <w:jc w:val="both"/>
        <w:rPr>
          <w:rFonts w:eastAsia="Calibri"/>
          <w:lang w:eastAsia="en-US"/>
        </w:rPr>
      </w:pPr>
      <w:r w:rsidRPr="00D84065">
        <w:rPr>
          <w:rFonts w:eastAsia="Calibri"/>
          <w:lang w:eastAsia="en-US"/>
        </w:rPr>
        <w:t>V</w:t>
      </w:r>
      <w:r w:rsidR="00B204E1" w:rsidRPr="00D84065">
        <w:rPr>
          <w:rFonts w:eastAsia="Calibri"/>
          <w:lang w:eastAsia="en-US"/>
        </w:rPr>
        <w:t>ylúčenie 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r w:rsidRPr="00B204E1">
        <w:rPr>
          <w:rFonts w:eastAsia="Calibri"/>
          <w:b/>
          <w:sz w:val="22"/>
          <w:szCs w:val="22"/>
          <w:lang w:eastAsia="en-US"/>
        </w:rPr>
        <w:t>Časť V.</w:t>
      </w:r>
      <w:bookmarkEnd w:id="42"/>
    </w:p>
    <w:p w14:paraId="52DD6805" w14:textId="77777777" w:rsidR="00B204E1" w:rsidRPr="00B204E1" w:rsidRDefault="00B204E1" w:rsidP="00D84065">
      <w:pPr>
        <w:pStyle w:val="Nadpis1"/>
        <w:rPr>
          <w:rFonts w:eastAsia="Calibri"/>
          <w:lang w:eastAsia="en-US"/>
        </w:rPr>
      </w:pPr>
      <w:bookmarkStart w:id="43" w:name="_Toc16684728"/>
      <w:r w:rsidRPr="00B204E1">
        <w:rPr>
          <w:rFonts w:eastAsia="Calibri"/>
          <w:lang w:eastAsia="en-US"/>
        </w:rPr>
        <w:t>VYTVORENIE DYNAMICKÉHO NÁKUPNÉHO SYSTÉMU A ZADÁVANIE KONKRÉTNYCH ZÁKAZIEK V RÁMCI DYNAMICKÉHO NÁKUPNÉHO SYSTÉMU</w:t>
      </w:r>
      <w:bookmarkEnd w:id="43"/>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4"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4"/>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lastRenderedPageBreak/>
        <w:t xml:space="preserve"> </w:t>
      </w:r>
      <w:bookmarkStart w:id="45"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5"/>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09885389"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31"/>
      <w:r w:rsidRPr="00B204E1">
        <w:rPr>
          <w:rFonts w:eastAsia="Calibri"/>
          <w:b/>
          <w:sz w:val="22"/>
          <w:szCs w:val="22"/>
          <w:lang w:eastAsia="en-US"/>
        </w:rPr>
        <w:lastRenderedPageBreak/>
        <w:t>Časť VI.</w:t>
      </w:r>
      <w:bookmarkEnd w:id="46"/>
    </w:p>
    <w:p w14:paraId="3ABB803A" w14:textId="77777777" w:rsidR="00B204E1" w:rsidRDefault="00B204E1" w:rsidP="00D84065">
      <w:pPr>
        <w:pStyle w:val="Nadpis1"/>
        <w:rPr>
          <w:rFonts w:eastAsia="Calibri"/>
          <w:lang w:eastAsia="en-US"/>
        </w:rPr>
      </w:pPr>
      <w:bookmarkStart w:id="47" w:name="_Toc16684732"/>
      <w:r w:rsidRPr="00B204E1">
        <w:rPr>
          <w:rFonts w:eastAsia="Calibri"/>
          <w:lang w:eastAsia="en-US"/>
        </w:rPr>
        <w:t>PRÍPRAVA PONÚK PREDKLADANÝCH NA KONKRÉTNE ZÁKAZKY ZADÁVANÉ V RÁMCI DYNAMICKÉHO NÁKUPNÉHO SYSTÉMU</w:t>
      </w:r>
      <w:bookmarkEnd w:id="47"/>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48" w:name="_Toc16684733"/>
      <w:r w:rsidRPr="00D84065">
        <w:rPr>
          <w:rStyle w:val="Nadpis2Char"/>
          <w:rFonts w:eastAsia="Calibri"/>
          <w:b/>
        </w:rPr>
        <w:t>V</w:t>
      </w:r>
      <w:r w:rsidR="00B204E1" w:rsidRPr="00D84065">
        <w:rPr>
          <w:rStyle w:val="Nadpis2Char"/>
          <w:rFonts w:eastAsia="Calibri"/>
          <w:b/>
        </w:rPr>
        <w:t>yhotovenie a jazyk ponuky</w:t>
      </w:r>
      <w:bookmarkEnd w:id="48"/>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49"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49"/>
    </w:p>
    <w:p w14:paraId="4D880167" w14:textId="40EFB3F0"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0" w:name="_Toc16684734"/>
      <w:r w:rsidRPr="00233D83">
        <w:rPr>
          <w:rStyle w:val="Nadpis2Char"/>
          <w:rFonts w:eastAsia="Calibri"/>
          <w:b/>
        </w:rPr>
        <w:t>V</w:t>
      </w:r>
      <w:r w:rsidR="00B204E1" w:rsidRPr="00233D83">
        <w:rPr>
          <w:rStyle w:val="Nadpis2Char"/>
          <w:rFonts w:eastAsia="Calibri"/>
          <w:b/>
        </w:rPr>
        <w:t>ariantné riešenie</w:t>
      </w:r>
      <w:bookmarkEnd w:id="50"/>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1"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1"/>
    </w:p>
    <w:p w14:paraId="74942DC6" w14:textId="46D6DCAC"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3F65584F"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4CF75603"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w:t>
      </w:r>
      <w:r w:rsidRPr="00B204E1">
        <w:rPr>
          <w:rFonts w:eastAsia="Calibri"/>
          <w:sz w:val="22"/>
          <w:szCs w:val="22"/>
          <w:lang w:eastAsia="en-US"/>
        </w:rPr>
        <w:lastRenderedPageBreak/>
        <w:t>jednotiek) uvedeného v štruktúrovanom rozpočte ceny/výkaze výmer. Do príslušnej položky musia byť započítané všetky náklady, ktoré s ňou bezprostredne súvisia.</w:t>
      </w:r>
    </w:p>
    <w:p w14:paraId="5397A0B1" w14:textId="5C2B4C57"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041C97C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2" w:name="_Toc16684736"/>
      <w:r w:rsidR="00233D83" w:rsidRPr="00185B18">
        <w:rPr>
          <w:rStyle w:val="Nadpis2Char"/>
          <w:rFonts w:eastAsia="Calibri"/>
          <w:b/>
          <w:bCs/>
        </w:rPr>
        <w:t>Z</w:t>
      </w:r>
      <w:r w:rsidR="00B204E1" w:rsidRPr="00185B18">
        <w:rPr>
          <w:rStyle w:val="Nadpis2Char"/>
          <w:rFonts w:eastAsia="Calibri"/>
          <w:b/>
          <w:bCs/>
        </w:rPr>
        <w:t>ábezpeka ponuky</w:t>
      </w:r>
      <w:bookmarkEnd w:id="52"/>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3" w:name="_Toc16684737"/>
      <w:r w:rsidRPr="00B204E1">
        <w:rPr>
          <w:rFonts w:eastAsia="Calibri"/>
          <w:b/>
          <w:sz w:val="22"/>
          <w:szCs w:val="22"/>
          <w:lang w:eastAsia="en-US"/>
        </w:rPr>
        <w:t>Časť VII.</w:t>
      </w:r>
      <w:bookmarkEnd w:id="53"/>
    </w:p>
    <w:p w14:paraId="28CBACA5" w14:textId="77777777" w:rsidR="00B204E1" w:rsidRPr="00B204E1" w:rsidRDefault="00B204E1" w:rsidP="00185B18">
      <w:pPr>
        <w:pStyle w:val="Nadpis1"/>
        <w:rPr>
          <w:rFonts w:eastAsia="Calibri"/>
          <w:lang w:eastAsia="en-US"/>
        </w:rPr>
      </w:pPr>
      <w:bookmarkStart w:id="54" w:name="_Toc16684738"/>
      <w:r w:rsidRPr="00B204E1">
        <w:rPr>
          <w:rFonts w:eastAsia="Calibri"/>
          <w:lang w:eastAsia="en-US"/>
        </w:rPr>
        <w:t>OBSAH PONÚK PREDKLADANÝCH NA KONKRÉTNE ZÁKAZKY ZADÁVANÉ V RÁMCI DYNAMICKÉHO NÁKUPNÉHO SYSTÉMU</w:t>
      </w:r>
      <w:bookmarkEnd w:id="54"/>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5" w:name="_Toc16684739"/>
      <w:r w:rsidRPr="00185B18">
        <w:rPr>
          <w:rStyle w:val="Nadpis2Char"/>
          <w:rFonts w:eastAsia="Calibri"/>
          <w:b/>
        </w:rPr>
        <w:t>O</w:t>
      </w:r>
      <w:r w:rsidR="00B204E1" w:rsidRPr="00185B18">
        <w:rPr>
          <w:rStyle w:val="Nadpis2Char"/>
          <w:rFonts w:eastAsia="Calibri"/>
          <w:b/>
        </w:rPr>
        <w:t>bsah ponuky</w:t>
      </w:r>
      <w:bookmarkEnd w:id="55"/>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40"/>
      <w:r w:rsidRPr="00B204E1">
        <w:rPr>
          <w:rFonts w:eastAsia="Calibri"/>
          <w:b/>
          <w:sz w:val="22"/>
          <w:szCs w:val="22"/>
          <w:lang w:eastAsia="en-US"/>
        </w:rPr>
        <w:t>Časť VIII.</w:t>
      </w:r>
      <w:bookmarkEnd w:id="56"/>
    </w:p>
    <w:p w14:paraId="1B3BC37D" w14:textId="77777777" w:rsidR="00B204E1" w:rsidRDefault="00B204E1" w:rsidP="00185B18">
      <w:pPr>
        <w:pStyle w:val="Nadpis1"/>
        <w:rPr>
          <w:rFonts w:eastAsia="Calibri"/>
          <w:lang w:eastAsia="en-US"/>
        </w:rPr>
      </w:pPr>
      <w:bookmarkStart w:id="57" w:name="_Toc16684741"/>
      <w:r w:rsidRPr="00B204E1">
        <w:rPr>
          <w:rFonts w:eastAsia="Calibri"/>
          <w:lang w:eastAsia="en-US"/>
        </w:rPr>
        <w:t>PREDKLADANIE A VYHODNOCOVANIE PONÚK NA KONKRÉTNE ZÁKAZKY ZADÁVANÉ V RÁMCI DYNAMICKÉHO NÁKUPNÉHO SYSTÉMU</w:t>
      </w:r>
      <w:bookmarkEnd w:id="57"/>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58" w:name="_Toc16684742"/>
      <w:r w:rsidRPr="00185B18">
        <w:rPr>
          <w:rStyle w:val="Nadpis2Char"/>
          <w:rFonts w:eastAsia="Calibri"/>
          <w:b/>
        </w:rPr>
        <w:t>O</w:t>
      </w:r>
      <w:r w:rsidR="00B204E1" w:rsidRPr="006B4775">
        <w:rPr>
          <w:rStyle w:val="Nadpis2Char"/>
          <w:rFonts w:eastAsia="Calibri"/>
          <w:b/>
        </w:rPr>
        <w:t>právnenie predložiť ponuku</w:t>
      </w:r>
      <w:bookmarkEnd w:id="58"/>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59" w:name="_Toc16684743"/>
      <w:r w:rsidRPr="006B4775">
        <w:rPr>
          <w:rStyle w:val="Nadpis2Char"/>
          <w:rFonts w:eastAsia="Calibri"/>
          <w:b/>
        </w:rPr>
        <w:t>P</w:t>
      </w:r>
      <w:r w:rsidR="00B204E1" w:rsidRPr="006B4775">
        <w:rPr>
          <w:rStyle w:val="Nadpis2Char"/>
          <w:rFonts w:eastAsia="Calibri"/>
          <w:b/>
        </w:rPr>
        <w:t>redloženie ponuky a späťvzatie ponuky</w:t>
      </w:r>
      <w:bookmarkEnd w:id="59"/>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0"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0"/>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1"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2" w:name="_Hlk346413"/>
      <w:r w:rsidRPr="00B204E1">
        <w:rPr>
          <w:rFonts w:eastAsia="Calibri" w:cs="Arial"/>
          <w:sz w:val="22"/>
          <w:szCs w:val="22"/>
          <w:lang w:eastAsia="en-US"/>
        </w:rPr>
        <w:t xml:space="preserve">na konkrétnu zadávanú zákazku v rámci dynamického nákupného systému </w:t>
      </w:r>
      <w:bookmarkEnd w:id="62"/>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1"/>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3" w:name="_Toc16684744"/>
      <w:r>
        <w:rPr>
          <w:rStyle w:val="Nadpis2Char"/>
          <w:rFonts w:eastAsia="Calibri"/>
          <w:b/>
        </w:rPr>
        <w:t>M</w:t>
      </w:r>
      <w:r w:rsidR="00B204E1" w:rsidRPr="006B4775">
        <w:rPr>
          <w:rStyle w:val="Nadpis2Char"/>
          <w:rFonts w:eastAsia="Calibri"/>
          <w:b/>
        </w:rPr>
        <w:t>iesto a lehota na predkladanie ponúk</w:t>
      </w:r>
      <w:bookmarkEnd w:id="63"/>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4" w:name="_Toc16684745"/>
      <w:r w:rsidRPr="006B4775">
        <w:rPr>
          <w:rStyle w:val="Nadpis2Char"/>
          <w:rFonts w:eastAsia="Calibri"/>
          <w:b/>
        </w:rPr>
        <w:t>L</w:t>
      </w:r>
      <w:r w:rsidR="00B204E1" w:rsidRPr="006B4775">
        <w:rPr>
          <w:rStyle w:val="Nadpis2Char"/>
          <w:rFonts w:eastAsia="Calibri"/>
          <w:b/>
        </w:rPr>
        <w:t>ehota viazanosti ponúk</w:t>
      </w:r>
      <w:bookmarkEnd w:id="64"/>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5" w:name="_Toc16684746"/>
      <w:r w:rsidRPr="00185B18">
        <w:rPr>
          <w:rStyle w:val="Nadpis2Char"/>
          <w:rFonts w:eastAsia="Calibri"/>
          <w:b/>
        </w:rPr>
        <w:t>O</w:t>
      </w:r>
      <w:r w:rsidR="00B204E1" w:rsidRPr="006B4775">
        <w:rPr>
          <w:rStyle w:val="Nadpis2Char"/>
          <w:rFonts w:eastAsia="Calibri"/>
          <w:b/>
        </w:rPr>
        <w:t>tváranie ponúk</w:t>
      </w:r>
      <w:bookmarkEnd w:id="65"/>
    </w:p>
    <w:p w14:paraId="0DE2E4C3" w14:textId="4F22BD5F"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6"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S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66"/>
      <w:r w:rsidRPr="00B204E1">
        <w:rPr>
          <w:rFonts w:cs="Arial"/>
          <w:sz w:val="22"/>
          <w:szCs w:val="22"/>
          <w:lang w:eastAsia="cs-CZ"/>
        </w:rPr>
        <w:t>na adrese uvedenej podľa bodu 1. týchto súťažných podkladov, v zasadacej miestnosti</w:t>
      </w:r>
      <w:r w:rsidR="00A64F38">
        <w:rPr>
          <w:rFonts w:cs="Arial"/>
          <w:sz w:val="22"/>
          <w:szCs w:val="22"/>
          <w:lang w:eastAsia="cs-CZ"/>
        </w:rPr>
        <w:t>.</w:t>
      </w:r>
    </w:p>
    <w:p w14:paraId="546EBDFE" w14:textId="3680A46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67" w:name="_Hlk522983497"/>
      <w:r w:rsidRPr="00B204E1">
        <w:rPr>
          <w:rFonts w:ascii="Garamond" w:hAnsi="Garamond" w:cs="Arial"/>
          <w:lang w:eastAsia="cs-CZ"/>
        </w:rPr>
        <w:t xml:space="preserve">elektronicky, spôsobom určeným funkcionalitou </w:t>
      </w:r>
      <w:r w:rsidR="00504E1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67"/>
      <w:r w:rsidRPr="00B204E1">
        <w:rPr>
          <w:rFonts w:ascii="Garamond" w:hAnsi="Garamond" w:cs="Arial"/>
          <w:lang w:eastAsia="cs-CZ"/>
        </w:rPr>
        <w:t xml:space="preserve">. </w:t>
      </w:r>
      <w:bookmarkStart w:id="68"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8"/>
    <w:p w14:paraId="1BAD86DD" w14:textId="3462A1F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69"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 výzve na predkladanie ponúk.</w:t>
      </w:r>
    </w:p>
    <w:bookmarkEnd w:id="69"/>
    <w:p w14:paraId="6B1B8EE5" w14:textId="77777777" w:rsidR="00B204E1" w:rsidRPr="00B204E1" w:rsidRDefault="00B204E1" w:rsidP="00B204E1">
      <w:pPr>
        <w:numPr>
          <w:ilvl w:val="1"/>
          <w:numId w:val="12"/>
        </w:numPr>
        <w:tabs>
          <w:tab w:val="left" w:pos="2160"/>
          <w:tab w:val="left" w:pos="2880"/>
          <w:tab w:val="left" w:pos="4500"/>
        </w:tabs>
        <w:spacing w:before="60" w:line="276" w:lineRule="auto"/>
        <w:ind w:left="567" w:hanging="567"/>
        <w:jc w:val="both"/>
        <w:rPr>
          <w:rFonts w:cs="Arial"/>
          <w:color w:val="FF0000"/>
          <w:sz w:val="22"/>
          <w:szCs w:val="22"/>
          <w:lang w:eastAsia="cs-CZ"/>
        </w:rPr>
      </w:pPr>
      <w:r w:rsidRPr="00B204E1">
        <w:rPr>
          <w:rFonts w:cs="Arial"/>
          <w:sz w:val="22"/>
          <w:szCs w:val="22"/>
          <w:lang w:eastAsia="cs-CZ"/>
        </w:rPr>
        <w:t>Uchádzač podľa bodu 29.3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002F4874"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0"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0"/>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1" w:name="_Toc16684747"/>
      <w:r>
        <w:rPr>
          <w:rStyle w:val="Nadpis2Char"/>
          <w:rFonts w:eastAsia="Calibri"/>
          <w:b/>
        </w:rPr>
        <w:lastRenderedPageBreak/>
        <w:t>V</w:t>
      </w:r>
      <w:r w:rsidR="00B204E1" w:rsidRPr="006B4775">
        <w:rPr>
          <w:rStyle w:val="Nadpis2Char"/>
          <w:rFonts w:eastAsia="Calibri"/>
          <w:b/>
        </w:rPr>
        <w:t>yhodnocovanie ponúk</w:t>
      </w:r>
      <w:bookmarkEnd w:id="71"/>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2" w:name="_Toc16684748"/>
      <w:r>
        <w:rPr>
          <w:rStyle w:val="Nadpis2Char"/>
          <w:rFonts w:eastAsia="Calibri"/>
          <w:b/>
        </w:rPr>
        <w:t>V</w:t>
      </w:r>
      <w:r w:rsidR="00B204E1" w:rsidRPr="006B4775">
        <w:rPr>
          <w:rStyle w:val="Nadpis2Char"/>
          <w:rFonts w:eastAsia="Calibri"/>
          <w:b/>
        </w:rPr>
        <w:t>ysvetľovanie ponuky, odôvodnenie mimoriadne nízkej ponuky</w:t>
      </w:r>
      <w:bookmarkEnd w:id="72"/>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3" w:name="_Hlk522984047"/>
      <w:r w:rsidRPr="00B204E1">
        <w:rPr>
          <w:rFonts w:eastAsia="Calibri" w:cs="Arial"/>
          <w:sz w:val="22"/>
          <w:szCs w:val="22"/>
          <w:lang w:eastAsia="en-US"/>
        </w:rPr>
        <w:t xml:space="preserve">– elektronicky, spôsobom určeným funkcionalitou </w:t>
      </w:r>
      <w:bookmarkEnd w:id="73"/>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4" w:name="_Toc16684749"/>
      <w:r>
        <w:rPr>
          <w:rFonts w:eastAsia="Calibri"/>
          <w:lang w:eastAsia="en-US"/>
        </w:rPr>
        <w:t>V</w:t>
      </w:r>
      <w:r w:rsidR="00B204E1" w:rsidRPr="006B4775">
        <w:rPr>
          <w:rFonts w:eastAsia="Calibri"/>
          <w:lang w:eastAsia="en-US"/>
        </w:rPr>
        <w:t>ylúčenie ponuky/dodávateľa</w:t>
      </w:r>
      <w:bookmarkEnd w:id="74"/>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5" w:name="_Toc16684750"/>
      <w:r w:rsidRPr="006B4775">
        <w:rPr>
          <w:rStyle w:val="Nadpis2Char"/>
          <w:rFonts w:eastAsia="Calibri"/>
          <w:b/>
        </w:rPr>
        <w:t>V</w:t>
      </w:r>
      <w:r w:rsidR="00B204E1" w:rsidRPr="006B4775">
        <w:rPr>
          <w:rStyle w:val="Nadpis2Char"/>
          <w:rFonts w:eastAsia="Calibri"/>
          <w:b/>
        </w:rPr>
        <w:t>yhodnocovanie návrhov na plnenie kritérií</w:t>
      </w:r>
      <w:bookmarkEnd w:id="75"/>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6" w:name="_Toc16684751"/>
      <w:r>
        <w:rPr>
          <w:rStyle w:val="Nadpis2Char"/>
          <w:rFonts w:eastAsia="Calibri"/>
          <w:b/>
        </w:rPr>
        <w:t>E</w:t>
      </w:r>
      <w:r w:rsidR="00B204E1" w:rsidRPr="006B4775">
        <w:rPr>
          <w:rStyle w:val="Nadpis2Char"/>
          <w:rFonts w:eastAsia="Calibri"/>
          <w:b/>
        </w:rPr>
        <w:t>lektronická aukcia</w:t>
      </w:r>
      <w:bookmarkEnd w:id="76"/>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2"/>
      <w:r w:rsidRPr="006B4775">
        <w:rPr>
          <w:rStyle w:val="Nadpis2Char"/>
          <w:rFonts w:eastAsia="Calibri"/>
          <w:b/>
        </w:rPr>
        <w:t>I</w:t>
      </w:r>
      <w:r w:rsidR="00B204E1" w:rsidRPr="006B4775">
        <w:rPr>
          <w:rStyle w:val="Nadpis2Char"/>
          <w:rFonts w:eastAsia="Calibri"/>
          <w:b/>
        </w:rPr>
        <w:t>nformácia o výsledku vyhodnocovania ponúk</w:t>
      </w:r>
      <w:bookmarkEnd w:id="77"/>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w:t>
      </w:r>
      <w:r w:rsidRPr="00B204E1">
        <w:rPr>
          <w:rFonts w:eastAsia="Calibri"/>
          <w:sz w:val="22"/>
          <w:szCs w:val="22"/>
          <w:lang w:eastAsia="en-US"/>
        </w:rPr>
        <w:lastRenderedPageBreak/>
        <w:t>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563914FF" w:rsidR="00B204E1" w:rsidRPr="006B4775" w:rsidRDefault="006B4775" w:rsidP="003D2303">
      <w:pPr>
        <w:pStyle w:val="Nadpis2"/>
        <w:numPr>
          <w:ilvl w:val="0"/>
          <w:numId w:val="24"/>
        </w:numPr>
        <w:spacing w:line="276" w:lineRule="auto"/>
        <w:jc w:val="both"/>
        <w:rPr>
          <w:rFonts w:eastAsia="Calibri"/>
          <w:b w:val="0"/>
          <w:sz w:val="22"/>
          <w:szCs w:val="22"/>
          <w:lang w:eastAsia="en-US"/>
        </w:rPr>
      </w:pPr>
      <w:bookmarkStart w:id="78" w:name="_Toc16684756"/>
      <w:r w:rsidRPr="00185B18">
        <w:rPr>
          <w:rStyle w:val="Nadpis2Char"/>
          <w:rFonts w:eastAsia="Calibri"/>
          <w:b/>
        </w:rPr>
        <w:t>O</w:t>
      </w:r>
      <w:r w:rsidR="00B204E1" w:rsidRPr="006B4775">
        <w:rPr>
          <w:rStyle w:val="Nadpis2Char"/>
          <w:rFonts w:eastAsia="Calibri"/>
          <w:b/>
        </w:rPr>
        <w:t>chrana osobných údajov</w:t>
      </w:r>
      <w:bookmarkEnd w:id="78"/>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AA26" w14:textId="77777777" w:rsidR="009F31B3" w:rsidRDefault="009F31B3">
      <w:r>
        <w:separator/>
      </w:r>
    </w:p>
  </w:endnote>
  <w:endnote w:type="continuationSeparator" w:id="0">
    <w:p w14:paraId="7BA33F5E" w14:textId="77777777" w:rsidR="009F31B3" w:rsidRDefault="009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0FD8" w14:textId="77777777" w:rsidR="009F31B3" w:rsidRDefault="009F31B3">
      <w:r>
        <w:separator/>
      </w:r>
    </w:p>
  </w:footnote>
  <w:footnote w:type="continuationSeparator" w:id="0">
    <w:p w14:paraId="484C343B" w14:textId="77777777" w:rsidR="009F31B3" w:rsidRDefault="009F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1"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6"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18351217">
    <w:abstractNumId w:val="29"/>
  </w:num>
  <w:num w:numId="2" w16cid:durableId="1053238737">
    <w:abstractNumId w:val="35"/>
  </w:num>
  <w:num w:numId="3" w16cid:durableId="1226793237">
    <w:abstractNumId w:val="15"/>
  </w:num>
  <w:num w:numId="4" w16cid:durableId="288586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8921951">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26863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041452">
    <w:abstractNumId w:val="13"/>
  </w:num>
  <w:num w:numId="8" w16cid:durableId="1043868923">
    <w:abstractNumId w:val="31"/>
  </w:num>
  <w:num w:numId="9" w16cid:durableId="467743519">
    <w:abstractNumId w:val="42"/>
  </w:num>
  <w:num w:numId="10" w16cid:durableId="801583045">
    <w:abstractNumId w:val="18"/>
  </w:num>
  <w:num w:numId="11" w16cid:durableId="1707022281">
    <w:abstractNumId w:val="33"/>
  </w:num>
  <w:num w:numId="12" w16cid:durableId="102574078">
    <w:abstractNumId w:val="41"/>
  </w:num>
  <w:num w:numId="13" w16cid:durableId="511533162">
    <w:abstractNumId w:val="7"/>
  </w:num>
  <w:num w:numId="14" w16cid:durableId="1219971271">
    <w:abstractNumId w:val="5"/>
  </w:num>
  <w:num w:numId="15" w16cid:durableId="19016271">
    <w:abstractNumId w:val="23"/>
  </w:num>
  <w:num w:numId="16" w16cid:durableId="2126536335">
    <w:abstractNumId w:val="21"/>
  </w:num>
  <w:num w:numId="17" w16cid:durableId="109707368">
    <w:abstractNumId w:val="1"/>
  </w:num>
  <w:num w:numId="18" w16cid:durableId="825516765">
    <w:abstractNumId w:val="28"/>
  </w:num>
  <w:num w:numId="19" w16cid:durableId="495615944">
    <w:abstractNumId w:val="34"/>
  </w:num>
  <w:num w:numId="20" w16cid:durableId="483397666">
    <w:abstractNumId w:val="4"/>
  </w:num>
  <w:num w:numId="21" w16cid:durableId="1798059276">
    <w:abstractNumId w:val="10"/>
  </w:num>
  <w:num w:numId="22" w16cid:durableId="1614243702">
    <w:abstractNumId w:val="37"/>
  </w:num>
  <w:num w:numId="23" w16cid:durableId="1228802496">
    <w:abstractNumId w:val="25"/>
  </w:num>
  <w:num w:numId="24" w16cid:durableId="1309699667">
    <w:abstractNumId w:val="27"/>
  </w:num>
  <w:num w:numId="25" w16cid:durableId="431829025">
    <w:abstractNumId w:val="19"/>
  </w:num>
  <w:num w:numId="26" w16cid:durableId="677660447">
    <w:abstractNumId w:val="17"/>
  </w:num>
  <w:num w:numId="27" w16cid:durableId="1652753391">
    <w:abstractNumId w:val="12"/>
  </w:num>
  <w:num w:numId="28" w16cid:durableId="1801151332">
    <w:abstractNumId w:val="20"/>
  </w:num>
  <w:num w:numId="29" w16cid:durableId="868687895">
    <w:abstractNumId w:val="9"/>
  </w:num>
  <w:num w:numId="30" w16cid:durableId="283853270">
    <w:abstractNumId w:val="0"/>
  </w:num>
  <w:num w:numId="31" w16cid:durableId="941104350">
    <w:abstractNumId w:val="6"/>
  </w:num>
  <w:num w:numId="32" w16cid:durableId="1555118458">
    <w:abstractNumId w:val="40"/>
  </w:num>
  <w:num w:numId="33" w16cid:durableId="1729062980">
    <w:abstractNumId w:val="14"/>
  </w:num>
  <w:num w:numId="34" w16cid:durableId="1119836960">
    <w:abstractNumId w:val="39"/>
  </w:num>
  <w:num w:numId="35" w16cid:durableId="349263576">
    <w:abstractNumId w:val="16"/>
  </w:num>
  <w:num w:numId="36" w16cid:durableId="1617446970">
    <w:abstractNumId w:val="43"/>
  </w:num>
  <w:num w:numId="37" w16cid:durableId="693505080">
    <w:abstractNumId w:val="8"/>
  </w:num>
  <w:num w:numId="38" w16cid:durableId="799956130">
    <w:abstractNumId w:val="22"/>
  </w:num>
  <w:num w:numId="39" w16cid:durableId="1126117754">
    <w:abstractNumId w:val="32"/>
  </w:num>
  <w:num w:numId="40" w16cid:durableId="578755057">
    <w:abstractNumId w:val="24"/>
  </w:num>
  <w:num w:numId="41" w16cid:durableId="38404587">
    <w:abstractNumId w:val="2"/>
  </w:num>
  <w:num w:numId="42" w16cid:durableId="1322388207">
    <w:abstractNumId w:val="38"/>
  </w:num>
  <w:num w:numId="43" w16cid:durableId="1236209884">
    <w:abstractNumId w:val="36"/>
  </w:num>
  <w:num w:numId="44" w16cid:durableId="269514701">
    <w:abstractNumId w:val="26"/>
  </w:num>
  <w:num w:numId="45" w16cid:durableId="76194919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18433">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CAD"/>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0A5"/>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12CE"/>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11F9"/>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A7C91"/>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2303"/>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209F5"/>
    <w:rsid w:val="00521ED3"/>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489"/>
    <w:rsid w:val="0081373C"/>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29D4"/>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26D7"/>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5D38"/>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2493"/>
    <w:rsid w:val="00DA24CB"/>
    <w:rsid w:val="00DA49EA"/>
    <w:rsid w:val="00DA4A0D"/>
    <w:rsid w:val="00DA605E"/>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eaeaea"/>
    </o:shapedefaults>
    <o:shapelayout v:ext="edit">
      <o:idmap v:ext="edit" data="1"/>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ejne.obstaravanie@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D7B5-2188-4C72-A235-4DAA24C4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22</Pages>
  <Words>8743</Words>
  <Characters>49841</Characters>
  <Application>Microsoft Office Word</Application>
  <DocSecurity>0</DocSecurity>
  <Lines>415</Lines>
  <Paragraphs>116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58468</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Juhászová Kristína</cp:lastModifiedBy>
  <cp:revision>21</cp:revision>
  <cp:lastPrinted>2019-10-15T09:59:00Z</cp:lastPrinted>
  <dcterms:created xsi:type="dcterms:W3CDTF">2019-10-11T05:22:00Z</dcterms:created>
  <dcterms:modified xsi:type="dcterms:W3CDTF">2022-06-06T16:18:00Z</dcterms:modified>
</cp:coreProperties>
</file>