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070717F3" w:rsidR="00065F6B" w:rsidRPr="00D83531" w:rsidRDefault="00F81A6D"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OOPP pre príslušníkov modulu pozemného hasenia požiarov v prírodnom prostredí s využitím vozidiel</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70E9D46B"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F81A6D">
        <w:rPr>
          <w:rFonts w:ascii="Arial Narrow" w:hAnsi="Arial Narrow" w:cs="Arial Narrow"/>
          <w:sz w:val="22"/>
          <w:szCs w:val="22"/>
        </w:rPr>
        <w:t>Ing. Janka Kytošová</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04304813" w14:textId="77777777" w:rsidR="00777FE8" w:rsidRDefault="00877A4D"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777FE8">
        <w:rPr>
          <w:rFonts w:ascii="Arial Narrow" w:hAnsi="Arial Narrow" w:cs="Arial"/>
          <w:sz w:val="22"/>
          <w:szCs w:val="22"/>
        </w:rPr>
        <w:t>pplk. Mgr. Ján Marušin</w:t>
      </w:r>
    </w:p>
    <w:p w14:paraId="73E0E0AC" w14:textId="73A33819" w:rsidR="00E13779" w:rsidRPr="00D83531" w:rsidRDefault="00777FE8" w:rsidP="00B622DA">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 xml:space="preserve">VTŠ – veliteľ čaty, OR HaZZ Poprad </w:t>
      </w:r>
      <w:r w:rsidR="00E13779"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CF84071" w14:textId="77777777" w:rsidR="00777FE8" w:rsidRDefault="00777FE8" w:rsidP="009B3C19">
      <w:pPr>
        <w:pStyle w:val="Zkladntext3"/>
        <w:spacing w:after="0" w:line="240" w:lineRule="auto"/>
        <w:ind w:right="-45"/>
        <w:jc w:val="center"/>
        <w:rPr>
          <w:rFonts w:ascii="Arial Narrow" w:hAnsi="Arial Narrow" w:cs="Arial"/>
          <w:sz w:val="22"/>
          <w:szCs w:val="22"/>
        </w:rPr>
      </w:pPr>
    </w:p>
    <w:p w14:paraId="7FC4E360" w14:textId="3C46DEE0"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4A306C">
        <w:rPr>
          <w:rFonts w:ascii="Arial Narrow" w:hAnsi="Arial Narrow" w:cs="Arial"/>
          <w:sz w:val="22"/>
          <w:szCs w:val="22"/>
        </w:rPr>
        <w:t>január</w:t>
      </w:r>
      <w:r w:rsidR="00F9131E">
        <w:rPr>
          <w:rFonts w:ascii="Arial Narrow" w:hAnsi="Arial Narrow" w:cs="Arial"/>
          <w:sz w:val="22"/>
          <w:szCs w:val="22"/>
        </w:rPr>
        <w:t xml:space="preserve"> 202</w:t>
      </w:r>
      <w:r w:rsidR="004A306C">
        <w:rPr>
          <w:rFonts w:ascii="Arial Narrow" w:hAnsi="Arial Narrow" w:cs="Arial"/>
          <w:sz w:val="22"/>
          <w:szCs w:val="22"/>
        </w:rPr>
        <w:t>3</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1E1B7B55"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C205CE" w:rsidRPr="00F9131E">
        <w:rPr>
          <w:rFonts w:ascii="Arial Narrow" w:hAnsi="Arial Narrow"/>
          <w:szCs w:val="20"/>
        </w:rPr>
        <w:t>zmluvy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08D9D2AB" w:rsidR="00567F8D" w:rsidRPr="000766EB" w:rsidRDefault="00567F8D"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w:t>
      </w:r>
      <w:bookmarkStart w:id="2" w:name="_GoBack"/>
      <w:bookmarkEnd w:id="2"/>
      <w:r w:rsidRPr="00BD2194">
        <w:rPr>
          <w:rFonts w:ascii="Arial Narrow" w:hAnsi="Arial Narrow" w:cs="Arial"/>
          <w:b/>
          <w:sz w:val="22"/>
        </w:rPr>
        <w:t xml:space="preserve">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3A32410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r>
      <w:r w:rsidR="00777FE8" w:rsidRPr="00777FE8">
        <w:rPr>
          <w:rFonts w:ascii="Arial Narrow" w:hAnsi="Arial Narrow" w:cs="Calibri"/>
          <w:sz w:val="22"/>
        </w:rPr>
        <w:t>v elektronickom prostriedku JOSEPHINE registráciou a prihlásením pomocou občianskeho preukazu s elektronickým čipom a bezpečnostným osobnostným kódom (</w:t>
      </w:r>
      <w:proofErr w:type="spellStart"/>
      <w:r w:rsidR="00777FE8" w:rsidRPr="00777FE8">
        <w:rPr>
          <w:rFonts w:ascii="Arial Narrow" w:hAnsi="Arial Narrow" w:cs="Calibri"/>
          <w:sz w:val="22"/>
        </w:rPr>
        <w:t>eID</w:t>
      </w:r>
      <w:proofErr w:type="spellEnd"/>
      <w:r w:rsidR="00777FE8" w:rsidRPr="00777FE8">
        <w:rPr>
          <w:rFonts w:ascii="Arial Narrow" w:hAnsi="Arial Narrow" w:cs="Calibri"/>
          <w:sz w:val="22"/>
        </w:rPr>
        <w:t xml:space="preserve">). V elektronickom prostriedku je autentifikovaná spoločnosť, ktorú pomocou </w:t>
      </w:r>
      <w:proofErr w:type="spellStart"/>
      <w:r w:rsidR="00777FE8" w:rsidRPr="00777FE8">
        <w:rPr>
          <w:rFonts w:ascii="Arial Narrow" w:hAnsi="Arial Narrow" w:cs="Calibri"/>
          <w:sz w:val="22"/>
        </w:rPr>
        <w:t>eID</w:t>
      </w:r>
      <w:proofErr w:type="spellEnd"/>
      <w:r w:rsidR="00777FE8" w:rsidRPr="00777FE8">
        <w:rPr>
          <w:rFonts w:ascii="Arial Narrow" w:hAnsi="Arial Narrow" w:cs="Calibri"/>
          <w:sz w:val="22"/>
        </w:rPr>
        <w:t xml:space="preserve"> registruje štatutár danej spoločnosti. Autentifikáciu vykonáva poskytovateľ elektronického prostriedku JOSEPHINE a to v pracovných dňoch v čase 8.00 – 16.00 hod. O dokončení autentifikácie je uchádzač informovaný e-mailom</w:t>
      </w:r>
      <w:r w:rsidR="00777FE8">
        <w:rPr>
          <w:rFonts w:ascii="Arial Narrow" w:hAnsi="Arial Narrow" w:cs="Calibri"/>
          <w:sz w:val="22"/>
        </w:rPr>
        <w:t>.</w:t>
      </w:r>
      <w:r w:rsidRPr="00BF72C1">
        <w:rPr>
          <w:rFonts w:ascii="Arial Narrow" w:hAnsi="Arial Narrow" w:cs="Calibri"/>
          <w:sz w:val="22"/>
        </w:rPr>
        <w:t xml:space="preserve">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46521B96"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F9131E" w:rsidRPr="00B96D1E">
        <w:rPr>
          <w:rFonts w:ascii="Arial Narrow" w:hAnsi="Arial Narrow" w:cs="Arial"/>
          <w:b/>
          <w:bCs/>
          <w:szCs w:val="16"/>
          <w:lang w:val="sk-SK"/>
        </w:rPr>
        <w:t>OOPP pre príslušníkov modulu pozemného hasenia požiarov v prírodnom prostredí s využitím vozidiel</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6B53B84E" w:rsidR="00593108" w:rsidRPr="00F9131E" w:rsidRDefault="00593108" w:rsidP="007B12A5">
      <w:pPr>
        <w:pStyle w:val="Zkladntext3"/>
        <w:numPr>
          <w:ilvl w:val="1"/>
          <w:numId w:val="24"/>
        </w:numPr>
        <w:spacing w:after="0" w:line="240" w:lineRule="auto"/>
        <w:ind w:left="567" w:hanging="567"/>
        <w:jc w:val="both"/>
        <w:rPr>
          <w:rFonts w:ascii="Arial Narrow" w:hAnsi="Arial Narrow" w:cs="Arial"/>
          <w:sz w:val="22"/>
          <w:szCs w:val="22"/>
          <w:lang w:eastAsia="sk-SK"/>
        </w:rPr>
      </w:pPr>
      <w:r w:rsidRPr="00F9131E">
        <w:rPr>
          <w:rFonts w:ascii="Arial Narrow" w:hAnsi="Arial Narrow" w:cs="Arial"/>
          <w:sz w:val="22"/>
          <w:szCs w:val="22"/>
        </w:rPr>
        <w:t>Miesto</w:t>
      </w:r>
      <w:r w:rsidRPr="00F9131E">
        <w:rPr>
          <w:rFonts w:ascii="Arial Narrow" w:hAnsi="Arial Narrow" w:cs="Arial"/>
          <w:sz w:val="22"/>
          <w:szCs w:val="22"/>
          <w:lang w:eastAsia="sk-SK"/>
        </w:rPr>
        <w:t xml:space="preserve"> dodania predmetu zákazky: </w:t>
      </w:r>
      <w:r w:rsidR="00F9131E" w:rsidRPr="00F9131E">
        <w:rPr>
          <w:rFonts w:ascii="Arial Narrow" w:hAnsi="Arial Narrow" w:cs="Arial"/>
          <w:sz w:val="22"/>
          <w:szCs w:val="22"/>
        </w:rPr>
        <w:t>centrálny sklad Záchranná brigáda Hasičského a záchranného zboru v Žiline, Bánovská cesta 8111, 010 01 Žilina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12B5DDDA"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F9131E">
        <w:rPr>
          <w:rFonts w:ascii="Arial Narrow" w:hAnsi="Arial Narrow"/>
          <w:sz w:val="22"/>
          <w:szCs w:val="22"/>
        </w:rPr>
        <w:t xml:space="preserve"> do </w:t>
      </w:r>
      <w:r w:rsidR="006D7D50">
        <w:rPr>
          <w:rFonts w:ascii="Arial Narrow" w:hAnsi="Arial Narrow"/>
          <w:sz w:val="22"/>
          <w:szCs w:val="22"/>
        </w:rPr>
        <w:t>6 mesiacov</w:t>
      </w:r>
      <w:r w:rsidRPr="003E088A">
        <w:rPr>
          <w:rFonts w:ascii="Arial Narrow" w:hAnsi="Arial Narrow"/>
          <w:sz w:val="22"/>
          <w:szCs w:val="22"/>
        </w:rPr>
        <w:t xml:space="preserve"> od 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6C322653" w:rsidR="0008742B" w:rsidRPr="00BF72C1" w:rsidRDefault="0008742B" w:rsidP="007C41BF">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7C41BF">
        <w:rPr>
          <w:rFonts w:ascii="Arial Narrow" w:hAnsi="Arial Narrow" w:cs="Arial"/>
          <w:b/>
          <w:bCs/>
          <w:sz w:val="22"/>
          <w:szCs w:val="22"/>
        </w:rPr>
        <w:t>219 608,23</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lastRenderedPageBreak/>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40CA08FE" w:rsidR="00BF72C1" w:rsidRDefault="007C41BF" w:rsidP="007C41BF">
      <w:pPr>
        <w:pStyle w:val="Zkladntext3"/>
        <w:spacing w:after="0" w:line="240" w:lineRule="auto"/>
        <w:ind w:left="567"/>
        <w:jc w:val="both"/>
        <w:rPr>
          <w:rFonts w:ascii="Arial Narrow" w:hAnsi="Arial Narrow" w:cs="Arial"/>
          <w:sz w:val="22"/>
        </w:rPr>
      </w:pPr>
      <w:r>
        <w:rPr>
          <w:rFonts w:ascii="Arial Narrow" w:hAnsi="Arial Narrow" w:cs="Arial"/>
          <w:sz w:val="22"/>
        </w:rPr>
        <w:t xml:space="preserve">Nevyžaduje sa </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FF7F48" w:rsidP="002C3F22">
      <w:pPr>
        <w:pStyle w:val="Zkladntext3"/>
        <w:spacing w:after="0" w:line="240" w:lineRule="auto"/>
        <w:ind w:left="567"/>
        <w:jc w:val="both"/>
        <w:rPr>
          <w:rFonts w:ascii="Arial Narrow" w:hAnsi="Arial Narrow" w:cs="Arial"/>
          <w:bCs/>
          <w:sz w:val="22"/>
        </w:rPr>
      </w:pPr>
      <w:hyperlink r:id="rId18"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110187B2"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lastRenderedPageBreak/>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0ADFC82F"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9"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23BB17A9"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w:t>
      </w:r>
      <w:r w:rsidR="00777FE8">
        <w:rPr>
          <w:rFonts w:ascii="Arial Narrow" w:hAnsi="Arial Narrow"/>
          <w:sz w:val="22"/>
          <w:szCs w:val="22"/>
        </w:rPr>
        <w:t xml:space="preserve">uchádzača predložená </w:t>
      </w:r>
      <w:r w:rsidRPr="00BD2194">
        <w:rPr>
          <w:rFonts w:ascii="Arial Narrow" w:hAnsi="Arial Narrow"/>
          <w:sz w:val="22"/>
          <w:szCs w:val="22"/>
        </w:rPr>
        <w:t xml:space="preserve">po uplynutí lehoty na predkladanie ponúk sa </w:t>
      </w:r>
      <w:r w:rsidR="00777FE8">
        <w:rPr>
          <w:rFonts w:ascii="Arial Narrow" w:hAnsi="Arial Narrow"/>
          <w:sz w:val="22"/>
          <w:szCs w:val="22"/>
        </w:rPr>
        <w:t xml:space="preserve">elektronicky neotvorí. </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31EA75E2" w:rsidR="003C0DA5" w:rsidRPr="003C0DA5" w:rsidRDefault="00777FE8" w:rsidP="007B12A5">
      <w:pPr>
        <w:pStyle w:val="Zkladntext3"/>
        <w:numPr>
          <w:ilvl w:val="1"/>
          <w:numId w:val="36"/>
        </w:numPr>
        <w:spacing w:after="0" w:line="240" w:lineRule="auto"/>
        <w:ind w:left="567" w:hanging="567"/>
        <w:jc w:val="both"/>
        <w:rPr>
          <w:rFonts w:ascii="Arial Narrow" w:hAnsi="Arial Narrow" w:cs="Arial"/>
        </w:rPr>
      </w:pPr>
      <w:r w:rsidRPr="00777FE8">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4"/>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6" w:name="_Hlk37051248"/>
      <w:bookmarkEnd w:id="35"/>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6"/>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6D14BB69" w:rsidR="003C0DA5" w:rsidRPr="007C41BF"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7C41BF">
        <w:rPr>
          <w:rFonts w:ascii="Arial Narrow" w:hAnsi="Arial Narrow" w:cs="Arial"/>
          <w:sz w:val="22"/>
          <w:szCs w:val="22"/>
        </w:rPr>
        <w:t>Typ Z</w:t>
      </w:r>
      <w:r w:rsidR="00065F6B" w:rsidRPr="007C41BF">
        <w:rPr>
          <w:rFonts w:ascii="Arial Narrow" w:hAnsi="Arial Narrow" w:cs="Arial"/>
          <w:sz w:val="22"/>
          <w:szCs w:val="22"/>
        </w:rPr>
        <w:t xml:space="preserve">mluvy na poskytnutie predmetu zákazky: </w:t>
      </w:r>
      <w:r w:rsidR="00A6226A" w:rsidRPr="007C41BF">
        <w:rPr>
          <w:rFonts w:ascii="Arial Narrow" w:hAnsi="Arial Narrow" w:cs="Arial"/>
          <w:sz w:val="22"/>
          <w:szCs w:val="22"/>
        </w:rPr>
        <w:t>Kúpna zmluva</w:t>
      </w:r>
      <w:r w:rsidR="007C41BF" w:rsidRPr="007C41BF">
        <w:rPr>
          <w:rFonts w:ascii="Arial Narrow" w:hAnsi="Arial Narrow" w:cs="Arial"/>
          <w:sz w:val="22"/>
          <w:szCs w:val="22"/>
        </w:rPr>
        <w:t>.</w:t>
      </w:r>
      <w:r w:rsidR="005A30A2" w:rsidRPr="007C41BF">
        <w:rPr>
          <w:rFonts w:ascii="Arial Narrow" w:hAnsi="Arial Narrow" w:cs="Arial"/>
          <w:sz w:val="22"/>
          <w:szCs w:val="22"/>
        </w:rPr>
        <w:t xml:space="preserve"> </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37"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7"/>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lastRenderedPageBreak/>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38"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39" w:name="_Toc531356116"/>
      <w:r w:rsidRPr="00BD2194">
        <w:t>Ochrana osobných údajov</w:t>
      </w:r>
      <w:bookmarkEnd w:id="39"/>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8"/>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21"/>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C824C" w14:textId="77777777" w:rsidR="00FF7F48" w:rsidRDefault="00FF7F48" w:rsidP="00116B5E">
      <w:pPr>
        <w:spacing w:after="0" w:line="240" w:lineRule="auto"/>
      </w:pPr>
      <w:r>
        <w:separator/>
      </w:r>
    </w:p>
  </w:endnote>
  <w:endnote w:type="continuationSeparator" w:id="0">
    <w:p w14:paraId="310B34DE" w14:textId="77777777" w:rsidR="00FF7F48" w:rsidRDefault="00FF7F4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F83A" w14:textId="77777777" w:rsidR="00FF7F48" w:rsidRDefault="00FF7F48" w:rsidP="00116B5E">
      <w:pPr>
        <w:spacing w:after="0" w:line="240" w:lineRule="auto"/>
      </w:pPr>
      <w:r>
        <w:separator/>
      </w:r>
    </w:p>
  </w:footnote>
  <w:footnote w:type="continuationSeparator" w:id="0">
    <w:p w14:paraId="059D34D7" w14:textId="77777777" w:rsidR="00FF7F48" w:rsidRDefault="00FF7F4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2B63"/>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0794"/>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221A"/>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16A1"/>
    <w:rsid w:val="004A306C"/>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BDC"/>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D7D50"/>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5EF7"/>
    <w:rsid w:val="0075706D"/>
    <w:rsid w:val="00757624"/>
    <w:rsid w:val="00757831"/>
    <w:rsid w:val="007608B5"/>
    <w:rsid w:val="00762040"/>
    <w:rsid w:val="00763872"/>
    <w:rsid w:val="00765084"/>
    <w:rsid w:val="00765D23"/>
    <w:rsid w:val="00766B60"/>
    <w:rsid w:val="0076725A"/>
    <w:rsid w:val="00771B54"/>
    <w:rsid w:val="00772550"/>
    <w:rsid w:val="0077407D"/>
    <w:rsid w:val="00777FE8"/>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1BF"/>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A7DBA"/>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5DD6"/>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D1E"/>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31D"/>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1A6D"/>
    <w:rsid w:val="00F832C0"/>
    <w:rsid w:val="00F8399A"/>
    <w:rsid w:val="00F83B1D"/>
    <w:rsid w:val="00F84214"/>
    <w:rsid w:val="00F9131E"/>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 w:val="00FF7F4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679FFB-E836-4F8C-80E3-88064AA5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3889</Words>
  <Characters>22172</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26009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2022-10-18T08:14:00Z</dcterms:created>
  <dcterms:modified xsi:type="dcterms:W3CDTF">2023-01-11T12:31:00Z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