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A5" w:rsidRPr="00436768" w:rsidRDefault="00485FA5" w:rsidP="00747EB8">
      <w:pPr>
        <w:widowControl/>
        <w:shd w:val="clear" w:color="auto" w:fill="AEAAAA" w:themeFill="background2" w:themeFillShade="BF"/>
        <w:suppressAutoHyphens w:val="0"/>
        <w:ind w:right="-3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4D122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.2</w:t>
      </w:r>
    </w:p>
    <w:p w:rsidR="00A6716F" w:rsidRDefault="00A6716F" w:rsidP="00872250">
      <w:pPr>
        <w:suppressAutoHyphens w:val="0"/>
        <w:spacing w:line="276" w:lineRule="auto"/>
        <w:ind w:left="1050" w:hanging="1050"/>
        <w:jc w:val="center"/>
        <w:rPr>
          <w:rFonts w:asciiTheme="minorHAnsi" w:eastAsia="Calibri" w:hAnsiTheme="minorHAnsi" w:cs="Arial"/>
          <w:b/>
          <w:sz w:val="28"/>
          <w:szCs w:val="28"/>
          <w:lang w:eastAsia="en-US"/>
        </w:rPr>
      </w:pPr>
      <w:bookmarkStart w:id="0" w:name="_GoBack"/>
      <w:bookmarkEnd w:id="0"/>
    </w:p>
    <w:tbl>
      <w:tblPr>
        <w:tblW w:w="140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11624"/>
      </w:tblGrid>
      <w:tr w:rsidR="00485FA5" w:rsidTr="00747EB8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FA5" w:rsidRDefault="00485FA5" w:rsidP="00D671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A5" w:rsidRDefault="00485FA5" w:rsidP="00D671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Technická univerzita v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Košiciach</w:t>
            </w:r>
          </w:p>
          <w:p w:rsidR="00485FA5" w:rsidRPr="0086147E" w:rsidRDefault="00485FA5" w:rsidP="00D671B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6147E">
              <w:rPr>
                <w:rFonts w:asciiTheme="minorHAnsi" w:hAnsiTheme="minorHAnsi" w:cs="Calibri"/>
                <w:b/>
                <w:sz w:val="20"/>
                <w:szCs w:val="20"/>
              </w:rPr>
              <w:t>Letná 9, 042 00 Košice - Sever</w:t>
            </w:r>
          </w:p>
        </w:tc>
      </w:tr>
      <w:tr w:rsidR="00485FA5" w:rsidTr="00747EB8">
        <w:trPr>
          <w:trHeight w:val="22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85FA5" w:rsidRDefault="00485FA5" w:rsidP="00D671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A5" w:rsidRDefault="00485FA5" w:rsidP="00D671BC">
            <w:pPr>
              <w:tabs>
                <w:tab w:val="left" w:pos="0"/>
                <w:tab w:val="left" w:pos="950"/>
              </w:tabs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</w:pPr>
            <w:r w:rsidRPr="00A60016">
              <w:rPr>
                <w:rFonts w:asciiTheme="minorHAnsi" w:hAnsiTheme="minorHAnsi" w:cs="Calibri"/>
                <w:b/>
                <w:sz w:val="20"/>
                <w:szCs w:val="20"/>
              </w:rPr>
              <w:t xml:space="preserve">Zabezpečenie </w:t>
            </w:r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materiálového vybavenia pre aditívnu a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bioaditívnu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výrobu pre vedecko - výskumné účely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KBIaM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SjF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, TUKE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747EB8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–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CEMBAM</w:t>
            </w:r>
          </w:p>
          <w:p w:rsidR="00747EB8" w:rsidRPr="00D900BB" w:rsidRDefault="00747EB8" w:rsidP="00D671BC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6716F" w:rsidRDefault="00A6716F" w:rsidP="00A6716F">
      <w:pPr>
        <w:pStyle w:val="Zkladntext21"/>
        <w:shd w:val="clear" w:color="auto" w:fill="auto"/>
        <w:spacing w:before="0" w:after="240" w:line="276" w:lineRule="auto"/>
        <w:ind w:firstLine="0"/>
        <w:jc w:val="left"/>
        <w:rPr>
          <w:rFonts w:asciiTheme="minorHAnsi" w:hAnsiTheme="minorHAnsi" w:cs="Arial"/>
          <w:b/>
          <w:sz w:val="28"/>
          <w:szCs w:val="28"/>
        </w:rPr>
      </w:pPr>
    </w:p>
    <w:p w:rsidR="00485FA5" w:rsidRDefault="00A6716F" w:rsidP="00485FA5">
      <w:pPr>
        <w:pStyle w:val="Zkladntext21"/>
        <w:shd w:val="clear" w:color="auto" w:fill="auto"/>
        <w:spacing w:before="0" w:after="240" w:line="276" w:lineRule="auto"/>
        <w:ind w:left="1050" w:hanging="1050"/>
        <w:rPr>
          <w:rFonts w:asciiTheme="minorHAnsi" w:hAnsiTheme="minorHAnsi" w:cs="Arial"/>
          <w:b/>
          <w:sz w:val="32"/>
          <w:szCs w:val="32"/>
        </w:rPr>
      </w:pPr>
      <w:r w:rsidRPr="00FE475E">
        <w:rPr>
          <w:rFonts w:asciiTheme="minorHAnsi" w:hAnsiTheme="minorHAnsi" w:cs="Arial"/>
          <w:b/>
          <w:sz w:val="32"/>
          <w:szCs w:val="32"/>
        </w:rPr>
        <w:t>Štruktúrovaný rozpočet ceny</w:t>
      </w:r>
    </w:p>
    <w:p w:rsidR="00485FA5" w:rsidRPr="00485FA5" w:rsidRDefault="00485FA5" w:rsidP="00485FA5">
      <w:pPr>
        <w:pStyle w:val="Bezriadkovania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5FA5">
        <w:rPr>
          <w:rFonts w:asciiTheme="minorHAnsi" w:hAnsiTheme="minorHAnsi" w:cstheme="minorHAnsi"/>
          <w:b/>
          <w:sz w:val="24"/>
          <w:szCs w:val="24"/>
        </w:rPr>
        <w:t xml:space="preserve">Časť </w:t>
      </w:r>
      <w:r w:rsidR="004D1226">
        <w:rPr>
          <w:rFonts w:asciiTheme="minorHAnsi" w:hAnsiTheme="minorHAnsi" w:cstheme="minorHAnsi"/>
          <w:b/>
          <w:sz w:val="24"/>
          <w:szCs w:val="24"/>
        </w:rPr>
        <w:t>2.</w:t>
      </w:r>
      <w:r w:rsidRPr="00485FA5">
        <w:rPr>
          <w:rFonts w:asciiTheme="minorHAnsi" w:hAnsiTheme="minorHAnsi" w:cstheme="minorHAnsi"/>
          <w:b/>
          <w:sz w:val="24"/>
          <w:szCs w:val="24"/>
        </w:rPr>
        <w:t xml:space="preserve"> Nákup materiálu</w:t>
      </w:r>
      <w:r w:rsidR="004D1226">
        <w:rPr>
          <w:rFonts w:asciiTheme="minorHAnsi" w:hAnsiTheme="minorHAnsi" w:cstheme="minorHAnsi"/>
          <w:b/>
          <w:sz w:val="24"/>
          <w:szCs w:val="24"/>
        </w:rPr>
        <w:t xml:space="preserve"> pre zabezpečenie BOZP</w:t>
      </w:r>
    </w:p>
    <w:p w:rsidR="00484E42" w:rsidRDefault="00484E42"/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589"/>
        <w:gridCol w:w="4806"/>
        <w:gridCol w:w="991"/>
        <w:gridCol w:w="1418"/>
        <w:gridCol w:w="1698"/>
        <w:gridCol w:w="2122"/>
        <w:gridCol w:w="2405"/>
      </w:tblGrid>
      <w:tr w:rsidR="006203AA" w:rsidTr="001E5932">
        <w:tc>
          <w:tcPr>
            <w:tcW w:w="589" w:type="dxa"/>
            <w:shd w:val="clear" w:color="auto" w:fill="D9D9D9" w:themeFill="background1" w:themeFillShade="D9"/>
          </w:tcPr>
          <w:p w:rsidR="006203AA" w:rsidRPr="00127FA0" w:rsidRDefault="006203AA" w:rsidP="006203A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Por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č.</w:t>
            </w:r>
          </w:p>
        </w:tc>
        <w:tc>
          <w:tcPr>
            <w:tcW w:w="4806" w:type="dxa"/>
            <w:shd w:val="clear" w:color="auto" w:fill="D9D9D9" w:themeFill="background1" w:themeFillShade="D9"/>
          </w:tcPr>
          <w:p w:rsidR="006203AA" w:rsidRPr="00127FA0" w:rsidRDefault="006203AA" w:rsidP="006203A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6203AA" w:rsidRPr="00127FA0" w:rsidRDefault="006203AA" w:rsidP="006203A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203AA" w:rsidRPr="00127FA0" w:rsidRDefault="006203AA" w:rsidP="006203A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Predpokl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ad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množstvo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6203AA" w:rsidRPr="00127FA0" w:rsidRDefault="006203AA" w:rsidP="006203A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bez DPH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:rsidR="006203AA" w:rsidRPr="00484E42" w:rsidRDefault="000D7813" w:rsidP="006203A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6203AA"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celkom v Eur </w:t>
            </w:r>
            <w:r w:rsidR="006203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="006203AA"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6203AA" w:rsidRPr="00484E42" w:rsidRDefault="000D7813" w:rsidP="006203AA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6203AA"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celkom v Eur s</w:t>
            </w:r>
            <w:r w:rsidR="006203AA"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1.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Jednorazové rukavice, veľkosť M,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nitrolové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nepudrované, vysokej kvality, neobsahujú žiadne látky spôsobujúce alergie, </w:t>
            </w:r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100ks/1 bal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bal.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50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4D1226" w:rsidRDefault="004D1226" w:rsidP="004D1226"/>
        </w:tc>
        <w:tc>
          <w:tcPr>
            <w:tcW w:w="2122" w:type="dxa"/>
            <w:shd w:val="clear" w:color="auto" w:fill="auto"/>
          </w:tcPr>
          <w:p w:rsidR="004D1226" w:rsidRDefault="004D1226" w:rsidP="004D1226"/>
        </w:tc>
        <w:tc>
          <w:tcPr>
            <w:tcW w:w="2405" w:type="dxa"/>
            <w:shd w:val="clear" w:color="auto" w:fill="auto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2.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Jednorazové rukavice, veľkosť L, nepudrované, vysokej kvality, neobsahujú žiadne látky spôsobujúce alergie, </w:t>
            </w:r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100ks/1 bal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bal.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50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4D1226" w:rsidRDefault="004D1226" w:rsidP="004D1226"/>
        </w:tc>
        <w:tc>
          <w:tcPr>
            <w:tcW w:w="2122" w:type="dxa"/>
            <w:shd w:val="clear" w:color="auto" w:fill="auto"/>
          </w:tcPr>
          <w:p w:rsidR="004D1226" w:rsidRDefault="004D1226" w:rsidP="004D1226"/>
        </w:tc>
        <w:tc>
          <w:tcPr>
            <w:tcW w:w="2405" w:type="dxa"/>
            <w:shd w:val="clear" w:color="auto" w:fill="auto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3.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Tepluodolné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rukavice do 350°C, Normy: EN420, EN388, vo vnútri bavlna , vonkajší materiál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Kevlar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®, dĺžka rukavice 35cm, vysoký level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protiporéznosti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, bezšvové, 1 pár/1 ks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4D1226" w:rsidRDefault="004D1226" w:rsidP="004D1226"/>
        </w:tc>
        <w:tc>
          <w:tcPr>
            <w:tcW w:w="2122" w:type="dxa"/>
            <w:shd w:val="clear" w:color="auto" w:fill="auto"/>
          </w:tcPr>
          <w:p w:rsidR="004D1226" w:rsidRDefault="004D1226" w:rsidP="004D1226"/>
        </w:tc>
        <w:tc>
          <w:tcPr>
            <w:tcW w:w="2405" w:type="dxa"/>
            <w:shd w:val="clear" w:color="auto" w:fill="auto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4.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Pracovné utierky - pevné utierky z netkanej textílie, ktoré rýchlo absorbujú vodu, oleje, mastnoty či hrdzavé kvapaliny a nasaté kvapaliny ľahko uvoľnia späť. Svojimi vlastnosťami je vhodná aj pre prácu s rozpúšťadlami. Tieto utierky sú výbornou náhradou textilných handier. Typ balenia -Top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Pak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100 ústrižkov/1 bal.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bal.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100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4D1226" w:rsidRDefault="004D1226" w:rsidP="004D1226"/>
        </w:tc>
        <w:tc>
          <w:tcPr>
            <w:tcW w:w="2122" w:type="dxa"/>
            <w:shd w:val="clear" w:color="auto" w:fill="auto"/>
          </w:tcPr>
          <w:p w:rsidR="004D1226" w:rsidRDefault="004D1226" w:rsidP="004D1226"/>
        </w:tc>
        <w:tc>
          <w:tcPr>
            <w:tcW w:w="2405" w:type="dxa"/>
            <w:shd w:val="clear" w:color="auto" w:fill="auto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Ochranné okuliare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nasaditeľné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dioptrické okuliare - veľkosť: univerzálna, normy:  AS / NZS 1337.1, EN 166 (1 FT), EN 170 (2C-1.2), </w:t>
            </w:r>
          </w:p>
          <w:p w:rsidR="004D1226" w:rsidRPr="009C6CAD" w:rsidRDefault="004D1226" w:rsidP="004D122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ultraľahké ochranné okuliare určené na nosenie na dioptrické okuliare, majú panoramatické šošovky, ktoré chránia aj oblasť očí, </w:t>
            </w:r>
          </w:p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nastaviteľné rámy ho prispôsobia každému tvaru tváre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before="24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4D1226" w:rsidRDefault="004D1226" w:rsidP="004D1226"/>
        </w:tc>
        <w:tc>
          <w:tcPr>
            <w:tcW w:w="2122" w:type="dxa"/>
            <w:shd w:val="clear" w:color="auto" w:fill="auto"/>
          </w:tcPr>
          <w:p w:rsidR="004D1226" w:rsidRDefault="004D1226" w:rsidP="004D1226"/>
        </w:tc>
        <w:tc>
          <w:tcPr>
            <w:tcW w:w="2405" w:type="dxa"/>
            <w:shd w:val="clear" w:color="auto" w:fill="auto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6.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Pracovné plášte – dámske, biely plášť s dĺžkou nad kolená a dvoma prednými vreckami. Zapínanie je na gombíky, ktoré sú po celej dĺžke laboratórneho plášťa. Rukávy je možné vyhrnúť a zachytiť všitým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putkom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. Špeciálna antibakteriálna úprava. materiál: 100% bavlna, veľkosť M 3 ks, L 2 ks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4D1226" w:rsidRDefault="004D1226" w:rsidP="004D1226"/>
        </w:tc>
        <w:tc>
          <w:tcPr>
            <w:tcW w:w="2122" w:type="dxa"/>
            <w:shd w:val="clear" w:color="auto" w:fill="auto"/>
          </w:tcPr>
          <w:p w:rsidR="004D1226" w:rsidRDefault="004D1226" w:rsidP="004D1226"/>
        </w:tc>
        <w:tc>
          <w:tcPr>
            <w:tcW w:w="2405" w:type="dxa"/>
            <w:shd w:val="clear" w:color="auto" w:fill="auto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7.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sz w:val="20"/>
                <w:szCs w:val="20"/>
              </w:rPr>
              <w:t xml:space="preserve">Pracovné plášte – pánske, </w:t>
            </w: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biely plášť s dĺžkou nad kolená a dvoma prednými vreckami. Zapínanie je na gombíky, ktoré sú po celej dĺžke laboratórneho plášťa. Rukávy je možné vyhrnúť a zachytiť všitým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putkom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. Špeciálna antibakteriálna úprava. materiál: 100% bavlna, veľkosť L 3 ks, XL 2 ks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4D1226" w:rsidRDefault="004D1226" w:rsidP="004D1226"/>
        </w:tc>
        <w:tc>
          <w:tcPr>
            <w:tcW w:w="2122" w:type="dxa"/>
            <w:shd w:val="clear" w:color="auto" w:fill="auto"/>
          </w:tcPr>
          <w:p w:rsidR="004D1226" w:rsidRDefault="004D1226" w:rsidP="004D1226"/>
        </w:tc>
        <w:tc>
          <w:tcPr>
            <w:tcW w:w="2405" w:type="dxa"/>
            <w:shd w:val="clear" w:color="auto" w:fill="auto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8.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Jednorazové čiapky – jednorazová ochranná čiapka, netkaný polypropylén, 12g/m², biela farba, </w:t>
            </w:r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100ks / 1bal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bal.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4D1226" w:rsidRDefault="004D1226" w:rsidP="004D1226"/>
        </w:tc>
        <w:tc>
          <w:tcPr>
            <w:tcW w:w="2122" w:type="dxa"/>
          </w:tcPr>
          <w:p w:rsidR="004D1226" w:rsidRDefault="004D1226" w:rsidP="004D1226"/>
        </w:tc>
        <w:tc>
          <w:tcPr>
            <w:tcW w:w="2405" w:type="dxa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9.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Jednorazový laboratórny plášť, veľkosť L, jednorazový polypropylénový plášť bez kapucne so zapínaním na suchý zips, má elastické manžety alebo na patentky, rukávy ukončené gumičkou, pod krkom ukončený golierikom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20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4D1226" w:rsidRDefault="004D1226" w:rsidP="004D1226"/>
        </w:tc>
        <w:tc>
          <w:tcPr>
            <w:tcW w:w="2122" w:type="dxa"/>
          </w:tcPr>
          <w:p w:rsidR="004D1226" w:rsidRDefault="004D1226" w:rsidP="004D1226"/>
        </w:tc>
        <w:tc>
          <w:tcPr>
            <w:tcW w:w="2405" w:type="dxa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10.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Jednorazový laboratórny plášť, veľkosť M, jednorazový polypropylénový plášť bez kapucne so zapínaním na suchý zips, má elastické manžety alebo na patentky, rukávy ukončené gumičkou, pod krkom ukončený golierikom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4D1226" w:rsidRDefault="004D1226" w:rsidP="004D1226"/>
        </w:tc>
        <w:tc>
          <w:tcPr>
            <w:tcW w:w="2122" w:type="dxa"/>
          </w:tcPr>
          <w:p w:rsidR="004D1226" w:rsidRDefault="004D1226" w:rsidP="004D1226"/>
        </w:tc>
        <w:tc>
          <w:tcPr>
            <w:tcW w:w="2405" w:type="dxa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11.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Jednorazový laboratórny plášť, veľkosť XL, jednorazový polypropylénový plášť bez kapucne so zapínaním na suchý zips, má elastické manžety alebo na patentky, rukávy ukončené gumičkou, pod krkom ukončený golierikom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4D1226" w:rsidRDefault="004D1226" w:rsidP="004D1226"/>
        </w:tc>
        <w:tc>
          <w:tcPr>
            <w:tcW w:w="2122" w:type="dxa"/>
          </w:tcPr>
          <w:p w:rsidR="004D1226" w:rsidRDefault="004D1226" w:rsidP="004D1226"/>
        </w:tc>
        <w:tc>
          <w:tcPr>
            <w:tcW w:w="2405" w:type="dxa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12.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Návleky na obuv vyrobené z CPE fólie modrej farby, po obvode má gumičku, pevne obopína obuv, </w:t>
            </w:r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100 ks/ 1 bal.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bal.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4D1226" w:rsidRDefault="004D1226" w:rsidP="004D1226"/>
        </w:tc>
        <w:tc>
          <w:tcPr>
            <w:tcW w:w="2122" w:type="dxa"/>
          </w:tcPr>
          <w:p w:rsidR="004D1226" w:rsidRDefault="004D1226" w:rsidP="004D1226"/>
        </w:tc>
        <w:tc>
          <w:tcPr>
            <w:tcW w:w="2405" w:type="dxa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13.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Ochranná rúška s gumičkou - 3-vrstvové, dobrá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prievzdušnosť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vysoká účinnosť filtrácie,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jednorázové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vďaka prispôsobivému plastovému pásiku dobre prilieha na nos, </w:t>
            </w:r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100 ks/ 1 bal.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bal.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50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4D1226" w:rsidRDefault="004D1226" w:rsidP="004D1226"/>
        </w:tc>
        <w:tc>
          <w:tcPr>
            <w:tcW w:w="2122" w:type="dxa"/>
          </w:tcPr>
          <w:p w:rsidR="004D1226" w:rsidRDefault="004D1226" w:rsidP="004D1226"/>
        </w:tc>
        <w:tc>
          <w:tcPr>
            <w:tcW w:w="2405" w:type="dxa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14.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Náhradné filtre do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celotvárovej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masky - bajonetový záver, výrazne znižujú dýchací odpor, filtre proti časticiam sú testované a certifikované podľa EN 143:2000+A1:2006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pár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100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4D1226" w:rsidRDefault="004D1226" w:rsidP="004D1226"/>
        </w:tc>
        <w:tc>
          <w:tcPr>
            <w:tcW w:w="2122" w:type="dxa"/>
          </w:tcPr>
          <w:p w:rsidR="004D1226" w:rsidRDefault="004D1226" w:rsidP="004D1226"/>
        </w:tc>
        <w:tc>
          <w:tcPr>
            <w:tcW w:w="2405" w:type="dxa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15.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Celotvárová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maska  veľkosti L, hmotnosť</w:t>
            </w:r>
            <w:r w:rsidRPr="009C6CAD">
              <w:rPr>
                <w:rFonts w:asciiTheme="minorHAnsi" w:hAnsiTheme="minorHAnsi" w:cstheme="minorHAnsi"/>
                <w:sz w:val="20"/>
                <w:szCs w:val="20"/>
              </w:rPr>
              <w:t xml:space="preserve"> 360 gramov, </w:t>
            </w:r>
            <w:proofErr w:type="spellStart"/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bezrámový</w:t>
            </w:r>
            <w:proofErr w:type="spellEnd"/>
            <w:r w:rsidRPr="009C6CAD">
              <w:rPr>
                <w:rFonts w:asciiTheme="minorHAnsi" w:hAnsiTheme="minorHAnsi" w:cstheme="minorHAnsi"/>
                <w:sz w:val="20"/>
                <w:szCs w:val="20"/>
              </w:rPr>
              <w:t xml:space="preserve"> panoramatický </w:t>
            </w:r>
            <w:proofErr w:type="spellStart"/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zorník</w:t>
            </w:r>
            <w:proofErr w:type="spellEnd"/>
            <w:r w:rsidRPr="009C6CAD">
              <w:rPr>
                <w:rFonts w:asciiTheme="minorHAnsi" w:hAnsiTheme="minorHAnsi" w:cstheme="minorHAnsi"/>
                <w:sz w:val="20"/>
                <w:szCs w:val="20"/>
              </w:rPr>
              <w:t xml:space="preserve">, spĺňa vysoké požiadavky triedy 2, telo masky je vyrobené z mäkkého materiálu TPE, ľahké nasadenie, jednoduchá údržba a čistenie. So systémom filtrov </w:t>
            </w:r>
            <w:proofErr w:type="spellStart"/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EasyLock</w:t>
            </w:r>
            <w:proofErr w:type="spellEnd"/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® - ľahká manipulácie,</w:t>
            </w:r>
          </w:p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Testovaná a certifikovaná podľa EN136:1998 CL2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4D1226" w:rsidRDefault="004D1226" w:rsidP="004D1226"/>
        </w:tc>
        <w:tc>
          <w:tcPr>
            <w:tcW w:w="2122" w:type="dxa"/>
          </w:tcPr>
          <w:p w:rsidR="004D1226" w:rsidRDefault="004D1226" w:rsidP="004D1226"/>
        </w:tc>
        <w:tc>
          <w:tcPr>
            <w:tcW w:w="2405" w:type="dxa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16.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Celotvárová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maska  veľkosti M, hmotnosť</w:t>
            </w:r>
            <w:r w:rsidRPr="009C6CAD">
              <w:rPr>
                <w:rFonts w:asciiTheme="minorHAnsi" w:hAnsiTheme="minorHAnsi" w:cstheme="minorHAnsi"/>
                <w:sz w:val="20"/>
                <w:szCs w:val="20"/>
              </w:rPr>
              <w:t xml:space="preserve"> 360 gramov, </w:t>
            </w:r>
            <w:proofErr w:type="spellStart"/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bezrámový</w:t>
            </w:r>
            <w:proofErr w:type="spellEnd"/>
            <w:r w:rsidRPr="009C6CAD">
              <w:rPr>
                <w:rFonts w:asciiTheme="minorHAnsi" w:hAnsiTheme="minorHAnsi" w:cstheme="minorHAnsi"/>
                <w:sz w:val="20"/>
                <w:szCs w:val="20"/>
              </w:rPr>
              <w:t xml:space="preserve"> panoramatický </w:t>
            </w:r>
            <w:proofErr w:type="spellStart"/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zorník</w:t>
            </w:r>
            <w:proofErr w:type="spellEnd"/>
            <w:r w:rsidRPr="009C6CAD">
              <w:rPr>
                <w:rFonts w:asciiTheme="minorHAnsi" w:hAnsiTheme="minorHAnsi" w:cstheme="minorHAnsi"/>
                <w:sz w:val="20"/>
                <w:szCs w:val="20"/>
              </w:rPr>
              <w:t xml:space="preserve">, spĺňa vysoké požiadavky triedy 2, telo masky je vyrobené z mäkkého materiálu TPE, ľahké nasadenie, jednoduchá údržba a čistenie. So systémom filtrov </w:t>
            </w:r>
            <w:proofErr w:type="spellStart"/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EasyLock</w:t>
            </w:r>
            <w:proofErr w:type="spellEnd"/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® - ľahká manipulácie,</w:t>
            </w:r>
          </w:p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sz w:val="20"/>
                <w:szCs w:val="20"/>
              </w:rPr>
              <w:t>Testovaná a certifikovaná podľa EN136:1998 CL2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4D1226" w:rsidRDefault="004D1226" w:rsidP="004D1226"/>
        </w:tc>
        <w:tc>
          <w:tcPr>
            <w:tcW w:w="2122" w:type="dxa"/>
          </w:tcPr>
          <w:p w:rsidR="004D1226" w:rsidRDefault="004D1226" w:rsidP="004D1226"/>
        </w:tc>
        <w:tc>
          <w:tcPr>
            <w:tcW w:w="2405" w:type="dxa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17.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Filtračná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polmaska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Trieda FFP2, skladacie, výdychový ventilček, ochrana proti tuhým a kvapalným časticiam v koncentrácii do 12 x NPK-P, upínacie pásky uchovávajú konštantné napätie, materiál - polypropylén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4D1226" w:rsidRDefault="004D1226" w:rsidP="004D1226"/>
        </w:tc>
        <w:tc>
          <w:tcPr>
            <w:tcW w:w="2122" w:type="dxa"/>
          </w:tcPr>
          <w:p w:rsidR="004D1226" w:rsidRDefault="004D1226" w:rsidP="004D1226"/>
        </w:tc>
        <w:tc>
          <w:tcPr>
            <w:tcW w:w="2405" w:type="dxa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18.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pracovná ochranná kombinéza LAKELAND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Pyrolon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XT -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jednorázová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kombinéza ochráni pred špinou, mastnotou, olejom a inými škodlivými látkami. Kombinéza je vyrobená z pevného priedušného  materiálu, v ktorom sa môžete ľahko pohybovať. Kombinéza je kompletne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zapnuteľná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 kapucňou. Netkaná textília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Spunlace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 povrchovou úpravou FR, polyester, veľkosť L 45 ks, XL 45 ks, XXL 10 ks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100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4D1226" w:rsidRDefault="004D1226" w:rsidP="004D1226"/>
        </w:tc>
        <w:tc>
          <w:tcPr>
            <w:tcW w:w="2122" w:type="dxa"/>
          </w:tcPr>
          <w:p w:rsidR="004D1226" w:rsidRDefault="004D1226" w:rsidP="004D1226"/>
        </w:tc>
        <w:tc>
          <w:tcPr>
            <w:tcW w:w="2405" w:type="dxa"/>
          </w:tcPr>
          <w:p w:rsidR="004D1226" w:rsidRDefault="004D1226" w:rsidP="004D1226"/>
        </w:tc>
      </w:tr>
      <w:tr w:rsidR="004D1226" w:rsidTr="002344CB">
        <w:tc>
          <w:tcPr>
            <w:tcW w:w="589" w:type="dxa"/>
          </w:tcPr>
          <w:p w:rsidR="004D1226" w:rsidRPr="00A17963" w:rsidRDefault="004D1226" w:rsidP="004D1226">
            <w:pPr>
              <w:spacing w:line="276" w:lineRule="auto"/>
              <w:rPr>
                <w:rFonts w:asciiTheme="minorHAnsi" w:hAnsiTheme="minorHAnsi" w:cs="Century Gothic"/>
                <w:bCs/>
                <w:sz w:val="20"/>
                <w:szCs w:val="20"/>
              </w:rPr>
            </w:pPr>
            <w:r w:rsidRPr="00A17963">
              <w:rPr>
                <w:rFonts w:asciiTheme="minorHAnsi" w:hAnsiTheme="minorHAnsi" w:cs="Century Gothic"/>
                <w:bCs/>
                <w:sz w:val="20"/>
                <w:szCs w:val="20"/>
              </w:rPr>
              <w:t>19.</w:t>
            </w:r>
          </w:p>
        </w:tc>
        <w:tc>
          <w:tcPr>
            <w:tcW w:w="4806" w:type="dxa"/>
          </w:tcPr>
          <w:p w:rsidR="004D1226" w:rsidRPr="009C6CAD" w:rsidRDefault="004D1226" w:rsidP="004D1226">
            <w:pPr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pracovná obuv - biele bezpečnostné sandále s pásikom a bezpečnostnou špicou, PU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jednohustotná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antistatická protišmyková podošva rezistentná voči olejom a oderu, zvršok - nepremokavé </w:t>
            </w:r>
            <w:proofErr w:type="spellStart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mikrovlákno</w:t>
            </w:r>
            <w:proofErr w:type="spellEnd"/>
            <w:r w:rsidRPr="009C6CAD">
              <w:rPr>
                <w:rFonts w:asciiTheme="minorHAnsi" w:hAnsiTheme="minorHAnsi" w:cstheme="minorHAnsi"/>
                <w:bCs/>
                <w:sz w:val="20"/>
                <w:szCs w:val="20"/>
              </w:rPr>
              <w:t>, zadný pásik s gumou, priedušná podšívka s antibakteriálnymi vlastnosťami, pánske č. 44 2 ks, dámske č. 40  4 ks</w:t>
            </w:r>
          </w:p>
        </w:tc>
        <w:tc>
          <w:tcPr>
            <w:tcW w:w="991" w:type="dxa"/>
            <w:vAlign w:val="center"/>
          </w:tcPr>
          <w:p w:rsidR="004D1226" w:rsidRPr="009C6CAD" w:rsidRDefault="004D1226" w:rsidP="004D12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9C6CAD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vAlign w:val="center"/>
          </w:tcPr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CAD"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4D1226" w:rsidRPr="009C6CAD" w:rsidRDefault="004D1226" w:rsidP="004D12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8" w:type="dxa"/>
          </w:tcPr>
          <w:p w:rsidR="004D1226" w:rsidRDefault="004D1226" w:rsidP="004D1226"/>
        </w:tc>
        <w:tc>
          <w:tcPr>
            <w:tcW w:w="2122" w:type="dxa"/>
          </w:tcPr>
          <w:p w:rsidR="004D1226" w:rsidRDefault="004D1226" w:rsidP="004D1226"/>
        </w:tc>
        <w:tc>
          <w:tcPr>
            <w:tcW w:w="2405" w:type="dxa"/>
          </w:tcPr>
          <w:p w:rsidR="004D1226" w:rsidRDefault="004D1226" w:rsidP="004D1226"/>
        </w:tc>
      </w:tr>
      <w:tr w:rsidR="004D1226" w:rsidTr="00CE47F5">
        <w:tc>
          <w:tcPr>
            <w:tcW w:w="9502" w:type="dxa"/>
            <w:gridSpan w:val="5"/>
            <w:shd w:val="clear" w:color="auto" w:fill="DEEAF6" w:themeFill="accent1" w:themeFillTint="33"/>
          </w:tcPr>
          <w:p w:rsidR="004D1226" w:rsidRDefault="004D1226" w:rsidP="004D1226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4D1226" w:rsidRPr="004D1226" w:rsidRDefault="004D1226" w:rsidP="004D1226">
            <w:pPr>
              <w:rPr>
                <w:b/>
                <w:sz w:val="22"/>
                <w:szCs w:val="22"/>
              </w:rPr>
            </w:pPr>
            <w:r w:rsidRPr="004D1226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Cena celkom  Časť 2. </w:t>
            </w:r>
            <w:r w:rsidRPr="004D1226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1226">
              <w:rPr>
                <w:rFonts w:asciiTheme="minorHAnsi" w:hAnsiTheme="minorHAnsi" w:cstheme="minorHAnsi"/>
                <w:b/>
                <w:sz w:val="22"/>
                <w:szCs w:val="22"/>
              </w:rPr>
              <w:t>Nákup materiálu</w:t>
            </w:r>
            <w:r w:rsidRPr="004D1226">
              <w:rPr>
                <w:b/>
                <w:sz w:val="22"/>
                <w:szCs w:val="22"/>
              </w:rPr>
              <w:t xml:space="preserve"> </w:t>
            </w:r>
            <w:r w:rsidRPr="004D1226">
              <w:rPr>
                <w:rFonts w:asciiTheme="minorHAnsi" w:hAnsiTheme="minorHAnsi"/>
                <w:b/>
                <w:sz w:val="22"/>
                <w:szCs w:val="22"/>
              </w:rPr>
              <w:t>pre zabezpečenie BOZP</w:t>
            </w:r>
          </w:p>
          <w:p w:rsidR="004D1226" w:rsidRDefault="004D1226" w:rsidP="004D1226"/>
        </w:tc>
        <w:tc>
          <w:tcPr>
            <w:tcW w:w="2122" w:type="dxa"/>
            <w:shd w:val="clear" w:color="auto" w:fill="DEEAF6" w:themeFill="accent1" w:themeFillTint="33"/>
          </w:tcPr>
          <w:p w:rsidR="004D1226" w:rsidRDefault="004D1226" w:rsidP="004D1226"/>
        </w:tc>
        <w:tc>
          <w:tcPr>
            <w:tcW w:w="2405" w:type="dxa"/>
            <w:shd w:val="clear" w:color="auto" w:fill="DEEAF6" w:themeFill="accent1" w:themeFillTint="33"/>
          </w:tcPr>
          <w:p w:rsidR="004D1226" w:rsidRDefault="004D1226" w:rsidP="004D1226"/>
        </w:tc>
      </w:tr>
    </w:tbl>
    <w:p w:rsidR="006203AA" w:rsidRDefault="006203AA"/>
    <w:p w:rsidR="00485FA5" w:rsidRDefault="00485FA5" w:rsidP="001871E1">
      <w:pPr>
        <w:autoSpaceDE w:val="0"/>
        <w:spacing w:line="276" w:lineRule="auto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485FA5" w:rsidRPr="001E5932" w:rsidRDefault="00485FA5" w:rsidP="001871E1">
      <w:pPr>
        <w:autoSpaceDE w:val="0"/>
        <w:spacing w:line="276" w:lineRule="auto"/>
        <w:rPr>
          <w:rFonts w:asciiTheme="minorHAnsi" w:hAnsiTheme="minorHAnsi" w:cs="Calibri Light"/>
          <w:i/>
          <w:color w:val="000000"/>
          <w:sz w:val="20"/>
          <w:szCs w:val="20"/>
        </w:rPr>
      </w:pPr>
    </w:p>
    <w:p w:rsidR="00485FA5" w:rsidRDefault="00485FA5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BB120F" w:rsidRDefault="00BB120F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>V ..</w:t>
      </w:r>
      <w:r w:rsidR="001871E1">
        <w:rPr>
          <w:rFonts w:asciiTheme="minorHAnsi" w:hAnsiTheme="minorHAnsi" w:cs="Calibri Light"/>
          <w:color w:val="000000"/>
          <w:sz w:val="20"/>
          <w:szCs w:val="20"/>
        </w:rPr>
        <w:t>............................dňa</w:t>
      </w:r>
    </w:p>
    <w:p w:rsidR="004727C9" w:rsidRPr="001871E1" w:rsidRDefault="004727C9" w:rsidP="001871E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43A24" w:rsidRDefault="00F43A24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43A24" w:rsidRDefault="00F43A24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43A24" w:rsidRDefault="00F43A24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43A24" w:rsidRDefault="00F43A24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43A24" w:rsidRDefault="00F43A24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43A24" w:rsidRDefault="00F43A24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43A24" w:rsidRDefault="00F43A24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1871E1" w:rsidRDefault="00BB120F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BB120F" w:rsidRDefault="00BB120F" w:rsidP="001871E1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Meno, priezvisko a podpis </w:t>
      </w:r>
    </w:p>
    <w:p w:rsidR="00484E42" w:rsidRDefault="00BB120F" w:rsidP="00BB120F">
      <w:pPr>
        <w:widowControl/>
        <w:suppressAutoHyphens w:val="0"/>
        <w:ind w:left="7080" w:firstLine="708"/>
        <w:jc w:val="both"/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oprávnenej osoby konať za uchádzača</w:t>
      </w:r>
    </w:p>
    <w:sectPr w:rsidR="00484E42" w:rsidSect="00872250">
      <w:headerReference w:type="default" r:id="rId6"/>
      <w:pgSz w:w="16838" w:h="11906" w:orient="landscape"/>
      <w:pgMar w:top="99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42" w:rsidRDefault="00484E42" w:rsidP="00484E42">
      <w:r>
        <w:separator/>
      </w:r>
    </w:p>
  </w:endnote>
  <w:endnote w:type="continuationSeparator" w:id="0">
    <w:p w:rsidR="00484E42" w:rsidRDefault="00484E42" w:rsidP="0048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42" w:rsidRDefault="00484E42" w:rsidP="00484E42">
      <w:r>
        <w:separator/>
      </w:r>
    </w:p>
  </w:footnote>
  <w:footnote w:type="continuationSeparator" w:id="0">
    <w:p w:rsidR="00484E42" w:rsidRDefault="00484E42" w:rsidP="0048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42" w:rsidRDefault="00484E42">
    <w:pPr>
      <w:pStyle w:val="Hlavika"/>
    </w:pPr>
  </w:p>
  <w:p w:rsidR="00484E42" w:rsidRDefault="00484E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62"/>
    <w:rsid w:val="00094DF0"/>
    <w:rsid w:val="000D7813"/>
    <w:rsid w:val="00115783"/>
    <w:rsid w:val="001871E1"/>
    <w:rsid w:val="001A7549"/>
    <w:rsid w:val="001E5932"/>
    <w:rsid w:val="00257518"/>
    <w:rsid w:val="002F180E"/>
    <w:rsid w:val="004727C9"/>
    <w:rsid w:val="00484E42"/>
    <w:rsid w:val="00485FA5"/>
    <w:rsid w:val="004D1226"/>
    <w:rsid w:val="004E2960"/>
    <w:rsid w:val="00573BC2"/>
    <w:rsid w:val="006203AA"/>
    <w:rsid w:val="006C3638"/>
    <w:rsid w:val="00724C5C"/>
    <w:rsid w:val="00747EB8"/>
    <w:rsid w:val="008531D1"/>
    <w:rsid w:val="00872250"/>
    <w:rsid w:val="008C2367"/>
    <w:rsid w:val="009315D8"/>
    <w:rsid w:val="0095200C"/>
    <w:rsid w:val="0096484D"/>
    <w:rsid w:val="00A17963"/>
    <w:rsid w:val="00A346F9"/>
    <w:rsid w:val="00A6716F"/>
    <w:rsid w:val="00AE2AC2"/>
    <w:rsid w:val="00B57D63"/>
    <w:rsid w:val="00B90DFC"/>
    <w:rsid w:val="00BB120F"/>
    <w:rsid w:val="00BC1FD6"/>
    <w:rsid w:val="00BD1A1E"/>
    <w:rsid w:val="00C35BA8"/>
    <w:rsid w:val="00C958DA"/>
    <w:rsid w:val="00CE47F5"/>
    <w:rsid w:val="00D43576"/>
    <w:rsid w:val="00DA3961"/>
    <w:rsid w:val="00E267B5"/>
    <w:rsid w:val="00E37F71"/>
    <w:rsid w:val="00E95262"/>
    <w:rsid w:val="00F260AA"/>
    <w:rsid w:val="00F43A24"/>
    <w:rsid w:val="00F57F0A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E2FD-D51B-487A-A38F-E2BF12AB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4E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4E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4E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84E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4E4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">
    <w:name w:val="Základní text (2)_"/>
    <w:basedOn w:val="Predvolenpsmoodseku"/>
    <w:link w:val="Zkladntext21"/>
    <w:uiPriority w:val="99"/>
    <w:rsid w:val="00484E42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484E42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8C23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C23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C23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3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367"/>
    <w:rPr>
      <w:rFonts w:ascii="Segoe UI" w:eastAsia="Times New Roman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39"/>
    <w:rsid w:val="0062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F57F0A"/>
    <w:rPr>
      <w:rFonts w:ascii="Calibri" w:eastAsia="Calibri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F57F0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A671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2022-10-20T17:19:00Z</dcterms:created>
  <dcterms:modified xsi:type="dcterms:W3CDTF">2023-01-24T09:35:00Z</dcterms:modified>
</cp:coreProperties>
</file>