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4B9" w:rsidRPr="00D63553" w:rsidRDefault="0045670B" w:rsidP="00C971D1">
      <w:pPr>
        <w:pStyle w:val="Odsekzoznamu"/>
        <w:numPr>
          <w:ilvl w:val="0"/>
          <w:numId w:val="1"/>
        </w:numPr>
        <w:spacing w:line="240" w:lineRule="auto"/>
        <w:jc w:val="both"/>
        <w:rPr>
          <w:b/>
          <w:sz w:val="28"/>
        </w:rPr>
      </w:pPr>
      <w:r w:rsidRPr="00D63553">
        <w:rPr>
          <w:b/>
          <w:sz w:val="28"/>
        </w:rPr>
        <w:t>ZÁKLADNÉ ÚDAJE O STAVBE</w:t>
      </w:r>
    </w:p>
    <w:p w:rsidR="0045670B" w:rsidRPr="00783FBD" w:rsidRDefault="00C4633C" w:rsidP="009E48FE">
      <w:pPr>
        <w:spacing w:after="0" w:line="360" w:lineRule="auto"/>
        <w:ind w:firstLine="360"/>
        <w:jc w:val="both"/>
        <w:rPr>
          <w:b/>
          <w:sz w:val="24"/>
        </w:rPr>
      </w:pPr>
      <w:r>
        <w:rPr>
          <w:b/>
          <w:sz w:val="24"/>
        </w:rPr>
        <w:t>1</w:t>
      </w:r>
      <w:r w:rsidR="00D63553" w:rsidRPr="00783FBD">
        <w:rPr>
          <w:b/>
          <w:sz w:val="24"/>
        </w:rPr>
        <w:t>.1.</w:t>
      </w:r>
      <w:r w:rsidR="00D63553" w:rsidRPr="00783FBD">
        <w:rPr>
          <w:b/>
          <w:sz w:val="24"/>
        </w:rPr>
        <w:tab/>
      </w:r>
      <w:r w:rsidR="0045670B" w:rsidRPr="00783FBD">
        <w:rPr>
          <w:b/>
          <w:sz w:val="24"/>
        </w:rPr>
        <w:t>ÚVOD</w:t>
      </w:r>
    </w:p>
    <w:p w:rsidR="0045670B" w:rsidRPr="00D63553" w:rsidRDefault="0045670B" w:rsidP="00301847">
      <w:pPr>
        <w:spacing w:after="0" w:line="276" w:lineRule="auto"/>
        <w:ind w:firstLine="360"/>
        <w:jc w:val="both"/>
      </w:pPr>
      <w:r w:rsidRPr="00D63553">
        <w:t xml:space="preserve">Projekt rieši </w:t>
      </w:r>
      <w:r w:rsidR="00C20D6C">
        <w:t>rekonštrukcie vykurovania 4. podlažia pe vytvorenie pracovísk odborného výcviku multifunkčných učební v meste Rimavská Sobota</w:t>
      </w:r>
      <w:r w:rsidR="00D63553" w:rsidRPr="00D63553">
        <w:t>.</w:t>
      </w:r>
      <w:r w:rsidRPr="00D63553">
        <w:t xml:space="preserve"> Parcela objektu sa nachádza v katastrálnom </w:t>
      </w:r>
      <w:r w:rsidR="001C1DF8">
        <w:t xml:space="preserve">území </w:t>
      </w:r>
      <w:r w:rsidR="00C20D6C">
        <w:t>Rimavská Sobota</w:t>
      </w:r>
      <w:r w:rsidRPr="00D63553">
        <w:t xml:space="preserve">. </w:t>
      </w:r>
    </w:p>
    <w:p w:rsidR="0045670B" w:rsidRPr="00D63553" w:rsidRDefault="0045670B" w:rsidP="00301847">
      <w:pPr>
        <w:spacing w:line="276" w:lineRule="auto"/>
        <w:ind w:firstLine="360"/>
        <w:jc w:val="both"/>
      </w:pPr>
      <w:r w:rsidRPr="00D63553">
        <w:t>Projekt vykurovania bol vypracovaný na základe stavebných výkresov, požiadaviek zodpovedného projektanta stavby, investora.</w:t>
      </w:r>
    </w:p>
    <w:p w:rsidR="0045670B" w:rsidRPr="00783FBD" w:rsidRDefault="00C4633C" w:rsidP="009E48FE">
      <w:pPr>
        <w:spacing w:after="0" w:line="360" w:lineRule="auto"/>
        <w:ind w:firstLine="360"/>
        <w:jc w:val="both"/>
        <w:rPr>
          <w:b/>
          <w:sz w:val="24"/>
        </w:rPr>
      </w:pPr>
      <w:r>
        <w:rPr>
          <w:b/>
          <w:sz w:val="24"/>
        </w:rPr>
        <w:t>1</w:t>
      </w:r>
      <w:r w:rsidR="00D63553" w:rsidRPr="00783FBD">
        <w:rPr>
          <w:b/>
          <w:sz w:val="24"/>
        </w:rPr>
        <w:t xml:space="preserve">.2. </w:t>
      </w:r>
      <w:r w:rsidR="00D63553" w:rsidRPr="00783FBD">
        <w:rPr>
          <w:b/>
          <w:sz w:val="24"/>
        </w:rPr>
        <w:tab/>
      </w:r>
      <w:r w:rsidR="0045670B" w:rsidRPr="00783FBD">
        <w:rPr>
          <w:b/>
          <w:sz w:val="24"/>
        </w:rPr>
        <w:t>VSTUPNÉ ÚDAJE</w:t>
      </w:r>
    </w:p>
    <w:p w:rsidR="0045670B" w:rsidRPr="00D63553" w:rsidRDefault="0045670B" w:rsidP="009E48FE">
      <w:pPr>
        <w:spacing w:after="0" w:line="360" w:lineRule="auto"/>
        <w:ind w:firstLine="360"/>
        <w:jc w:val="both"/>
        <w:rPr>
          <w:b/>
        </w:rPr>
      </w:pPr>
      <w:r w:rsidRPr="00D63553">
        <w:rPr>
          <w:b/>
        </w:rPr>
        <w:t>Pre spracovanie projektu b</w:t>
      </w:r>
      <w:r w:rsidR="00D63553">
        <w:rPr>
          <w:b/>
        </w:rPr>
        <w:t>oli použité nasledovné podklady</w:t>
      </w:r>
    </w:p>
    <w:p w:rsidR="0045670B" w:rsidRDefault="00FC5AA2" w:rsidP="00301847">
      <w:pPr>
        <w:pStyle w:val="Odsekzoznamu"/>
        <w:numPr>
          <w:ilvl w:val="0"/>
          <w:numId w:val="2"/>
        </w:numPr>
        <w:spacing w:line="276" w:lineRule="auto"/>
        <w:jc w:val="both"/>
      </w:pPr>
      <w:r>
        <w:t>Zákon 50/1976 Z</w:t>
      </w:r>
      <w:r w:rsidR="0045670B">
        <w:t>.</w:t>
      </w:r>
      <w:r w:rsidR="001C1DF8">
        <w:t xml:space="preserve"> </w:t>
      </w:r>
      <w:r>
        <w:t>z</w:t>
      </w:r>
      <w:r w:rsidR="0045670B">
        <w:t>. stavebný zákon</w:t>
      </w:r>
    </w:p>
    <w:p w:rsidR="0045670B" w:rsidRDefault="0045670B" w:rsidP="00301847">
      <w:pPr>
        <w:pStyle w:val="Odsekzoznamu"/>
        <w:numPr>
          <w:ilvl w:val="0"/>
          <w:numId w:val="2"/>
        </w:numPr>
        <w:spacing w:line="276" w:lineRule="auto"/>
        <w:jc w:val="both"/>
      </w:pPr>
      <w:r>
        <w:t>Vyhláška 684/2006</w:t>
      </w:r>
      <w:r w:rsidR="00783FBD">
        <w:t xml:space="preserve"> </w:t>
      </w:r>
      <w:r>
        <w:t>Z.</w:t>
      </w:r>
      <w:r w:rsidR="001C1DF8">
        <w:t xml:space="preserve"> </w:t>
      </w:r>
      <w:r>
        <w:t>z. ktorou sa ustanovujú podrobnosti o technických požiadavkách na návrh, projektovú dokumentáciu a výstavbu verejných vodovodov a verejných kanalizácií</w:t>
      </w:r>
    </w:p>
    <w:p w:rsidR="0045670B" w:rsidRDefault="0045670B" w:rsidP="00301847">
      <w:pPr>
        <w:pStyle w:val="Odsekzoznamu"/>
        <w:numPr>
          <w:ilvl w:val="0"/>
          <w:numId w:val="2"/>
        </w:numPr>
        <w:spacing w:line="276" w:lineRule="auto"/>
        <w:jc w:val="both"/>
      </w:pPr>
      <w:r>
        <w:t>TPP 93502 armatúry</w:t>
      </w:r>
    </w:p>
    <w:p w:rsidR="00783FBD" w:rsidRDefault="0045670B" w:rsidP="00301847">
      <w:pPr>
        <w:pStyle w:val="Odsekzoznamu"/>
        <w:numPr>
          <w:ilvl w:val="0"/>
          <w:numId w:val="2"/>
        </w:numPr>
        <w:spacing w:line="276" w:lineRule="auto"/>
        <w:jc w:val="both"/>
      </w:pPr>
      <w:r>
        <w:t>Vyhláška Ministerstva vnútra Slovenskej republiky č. 95/2004 Z.</w:t>
      </w:r>
      <w:r w:rsidR="001C1DF8">
        <w:t xml:space="preserve"> </w:t>
      </w:r>
      <w:r>
        <w:t xml:space="preserve">z., ktorou sa ustanovujú technické podmienky a požiadavky požiarnej bezpečnosti pri inštalácií a prevádzkovaní palivových spotrebičov, elektrotepelných spotrebičov a zariadení ústredného vykurovania a pri výstavbe </w:t>
      </w:r>
      <w:r w:rsidR="00783FBD">
        <w:t>a používaní komínov a dymovodov</w:t>
      </w:r>
      <w:r w:rsidR="00783FBD">
        <w:rPr>
          <w:lang w:val="en-GB"/>
        </w:rPr>
        <w:t>;</w:t>
      </w:r>
    </w:p>
    <w:p w:rsidR="0045670B" w:rsidRDefault="0045670B" w:rsidP="00301847">
      <w:pPr>
        <w:pStyle w:val="Odsekzoznamu"/>
        <w:numPr>
          <w:ilvl w:val="0"/>
          <w:numId w:val="2"/>
        </w:numPr>
        <w:spacing w:line="276" w:lineRule="auto"/>
        <w:jc w:val="both"/>
      </w:pPr>
      <w:r>
        <w:t>STN EN 12831 (STN 06 0210) –</w:t>
      </w:r>
      <w:r w:rsidR="00783FBD">
        <w:t xml:space="preserve"> Vykurovacie systémy v budovách.</w:t>
      </w:r>
      <w:r>
        <w:t xml:space="preserve"> Metóda výpočtu p</w:t>
      </w:r>
      <w:r w:rsidR="00A10CEE">
        <w:t>rojektovaného tepelného príkonu</w:t>
      </w:r>
    </w:p>
    <w:p w:rsidR="0045670B" w:rsidRDefault="0045670B" w:rsidP="00301847">
      <w:pPr>
        <w:pStyle w:val="Odsekzoznamu"/>
        <w:numPr>
          <w:ilvl w:val="0"/>
          <w:numId w:val="2"/>
        </w:numPr>
        <w:spacing w:line="276" w:lineRule="auto"/>
        <w:jc w:val="both"/>
      </w:pPr>
      <w:r>
        <w:t>STN 73 0540: 2012 Tepelno-technické vlastnosti stavebných konštrukcií a budov;</w:t>
      </w:r>
    </w:p>
    <w:p w:rsidR="0045670B" w:rsidRDefault="0045670B" w:rsidP="00301847">
      <w:pPr>
        <w:pStyle w:val="Odsekzoznamu"/>
        <w:numPr>
          <w:ilvl w:val="0"/>
          <w:numId w:val="2"/>
        </w:numPr>
        <w:spacing w:line="276" w:lineRule="auto"/>
        <w:jc w:val="both"/>
      </w:pPr>
      <w:r>
        <w:t>Ostatné súvisiace a platné STN a predpisy IP;</w:t>
      </w:r>
    </w:p>
    <w:p w:rsidR="0045670B" w:rsidRDefault="0045670B" w:rsidP="00301847">
      <w:pPr>
        <w:pStyle w:val="Odsekzoznamu"/>
        <w:numPr>
          <w:ilvl w:val="0"/>
          <w:numId w:val="2"/>
        </w:numPr>
        <w:spacing w:line="276" w:lineRule="auto"/>
        <w:jc w:val="both"/>
      </w:pPr>
      <w:r>
        <w:t>Technické podklady výrobcov</w:t>
      </w:r>
    </w:p>
    <w:p w:rsidR="0045670B" w:rsidRDefault="0045670B" w:rsidP="00301847">
      <w:pPr>
        <w:pStyle w:val="Odsekzoznamu"/>
        <w:numPr>
          <w:ilvl w:val="0"/>
          <w:numId w:val="2"/>
        </w:numPr>
        <w:spacing w:line="276" w:lineRule="auto"/>
        <w:jc w:val="both"/>
      </w:pPr>
      <w:r>
        <w:t>Požiadavky investora</w:t>
      </w:r>
    </w:p>
    <w:p w:rsidR="0045670B" w:rsidRDefault="0045670B" w:rsidP="00301847">
      <w:pPr>
        <w:pStyle w:val="Odsekzoznamu"/>
        <w:numPr>
          <w:ilvl w:val="0"/>
          <w:numId w:val="2"/>
        </w:numPr>
        <w:spacing w:line="276" w:lineRule="auto"/>
        <w:jc w:val="both"/>
      </w:pPr>
      <w:r>
        <w:t>Podklady architekta</w:t>
      </w:r>
    </w:p>
    <w:p w:rsidR="0045670B" w:rsidRPr="00783FBD" w:rsidRDefault="00C4633C" w:rsidP="009E48FE">
      <w:pPr>
        <w:spacing w:after="0" w:line="360" w:lineRule="auto"/>
        <w:ind w:firstLine="360"/>
        <w:jc w:val="both"/>
        <w:rPr>
          <w:b/>
          <w:sz w:val="24"/>
        </w:rPr>
      </w:pPr>
      <w:r>
        <w:rPr>
          <w:b/>
          <w:sz w:val="24"/>
        </w:rPr>
        <w:t>1</w:t>
      </w:r>
      <w:r w:rsidR="0045670B" w:rsidRPr="00783FBD">
        <w:rPr>
          <w:b/>
          <w:sz w:val="24"/>
        </w:rPr>
        <w:t>.3</w:t>
      </w:r>
      <w:r w:rsidR="00783FBD" w:rsidRPr="00783FBD">
        <w:rPr>
          <w:b/>
          <w:sz w:val="24"/>
        </w:rPr>
        <w:t>.</w:t>
      </w:r>
      <w:r w:rsidR="00783FBD" w:rsidRPr="00783FBD">
        <w:rPr>
          <w:b/>
          <w:sz w:val="24"/>
        </w:rPr>
        <w:tab/>
      </w:r>
      <w:r w:rsidR="0045670B" w:rsidRPr="00783FBD">
        <w:rPr>
          <w:b/>
          <w:sz w:val="24"/>
        </w:rPr>
        <w:t>ZÁKLADNÉ ÚDAJE O VONKAJŠÍCH KLIMATICKÝCH PODMIENKACH</w:t>
      </w:r>
    </w:p>
    <w:p w:rsidR="0045670B" w:rsidRDefault="0045670B" w:rsidP="00301847">
      <w:pPr>
        <w:spacing w:after="0" w:line="276" w:lineRule="auto"/>
        <w:ind w:firstLine="360"/>
        <w:jc w:val="both"/>
      </w:pPr>
      <w:r>
        <w:t>Stanovenie veternej oblasti pre obdobie vykurovania STN 73 0540:</w:t>
      </w:r>
    </w:p>
    <w:p w:rsidR="0045670B" w:rsidRDefault="00783FBD" w:rsidP="00301847">
      <w:pPr>
        <w:pStyle w:val="Odsekzoznamu"/>
        <w:numPr>
          <w:ilvl w:val="0"/>
          <w:numId w:val="2"/>
        </w:numPr>
        <w:spacing w:after="0" w:line="276" w:lineRule="auto"/>
        <w:jc w:val="both"/>
      </w:pPr>
      <w:r>
        <w:t>v</w:t>
      </w:r>
      <w:r w:rsidR="00735D3A">
        <w:t>eterná oblasť 1</w:t>
      </w:r>
    </w:p>
    <w:p w:rsidR="001D60C3" w:rsidRDefault="001D60C3" w:rsidP="00301847">
      <w:pPr>
        <w:spacing w:after="0" w:line="276" w:lineRule="auto"/>
        <w:ind w:firstLine="360"/>
        <w:jc w:val="both"/>
      </w:pPr>
      <w:r>
        <w:t>Stanovenie teplotnej oblasti pre obdobie vykurovania STN 73 0540:</w:t>
      </w:r>
    </w:p>
    <w:p w:rsidR="001D60C3" w:rsidRDefault="00783FBD" w:rsidP="00301847">
      <w:pPr>
        <w:pStyle w:val="Odsekzoznamu"/>
        <w:numPr>
          <w:ilvl w:val="0"/>
          <w:numId w:val="2"/>
        </w:numPr>
        <w:spacing w:after="0" w:line="276" w:lineRule="auto"/>
        <w:jc w:val="both"/>
      </w:pPr>
      <w:r>
        <w:t>t</w:t>
      </w:r>
      <w:r w:rsidR="00EF795E">
        <w:t>eplotná oblasť 2</w:t>
      </w:r>
    </w:p>
    <w:p w:rsidR="001D60C3" w:rsidRDefault="001D60C3" w:rsidP="00301847">
      <w:pPr>
        <w:spacing w:after="0" w:line="276" w:lineRule="auto"/>
        <w:ind w:firstLine="360"/>
        <w:jc w:val="both"/>
      </w:pPr>
      <w:r>
        <w:t>Vonkajšia výpočtová teplota:</w:t>
      </w:r>
    </w:p>
    <w:p w:rsidR="001D60C3" w:rsidRDefault="001D60C3" w:rsidP="00301847">
      <w:pPr>
        <w:pStyle w:val="Odsekzoznamu"/>
        <w:numPr>
          <w:ilvl w:val="0"/>
          <w:numId w:val="2"/>
        </w:numPr>
        <w:spacing w:after="0" w:line="276" w:lineRule="auto"/>
        <w:jc w:val="both"/>
      </w:pPr>
      <w:r>
        <w:t>Θ</w:t>
      </w:r>
      <w:r w:rsidRPr="00EA0D40">
        <w:rPr>
          <w:vertAlign w:val="subscript"/>
        </w:rPr>
        <w:t>e</w:t>
      </w:r>
      <w:r w:rsidR="00EF795E">
        <w:t xml:space="preserve"> = -13</w:t>
      </w:r>
      <w:r w:rsidR="00E674C9">
        <w:t>,0</w:t>
      </w:r>
      <w:r w:rsidR="00CA3229">
        <w:t>°C</w:t>
      </w:r>
    </w:p>
    <w:p w:rsidR="001D60C3" w:rsidRDefault="001D60C3" w:rsidP="009E48FE">
      <w:pPr>
        <w:pStyle w:val="Odsekzoznamu"/>
        <w:spacing w:after="0" w:line="360" w:lineRule="auto"/>
        <w:jc w:val="both"/>
      </w:pPr>
    </w:p>
    <w:p w:rsidR="00301847" w:rsidRDefault="00301847" w:rsidP="009E48FE">
      <w:pPr>
        <w:pStyle w:val="Odsekzoznamu"/>
        <w:spacing w:after="0" w:line="360" w:lineRule="auto"/>
        <w:jc w:val="both"/>
      </w:pPr>
    </w:p>
    <w:p w:rsidR="00301847" w:rsidRDefault="00301847" w:rsidP="009E48FE">
      <w:pPr>
        <w:pStyle w:val="Odsekzoznamu"/>
        <w:spacing w:after="0" w:line="360" w:lineRule="auto"/>
        <w:jc w:val="both"/>
      </w:pPr>
    </w:p>
    <w:p w:rsidR="00301847" w:rsidRDefault="00301847" w:rsidP="009E48FE">
      <w:pPr>
        <w:pStyle w:val="Odsekzoznamu"/>
        <w:spacing w:after="0" w:line="360" w:lineRule="auto"/>
        <w:jc w:val="both"/>
      </w:pPr>
    </w:p>
    <w:p w:rsidR="00301847" w:rsidRDefault="00301847" w:rsidP="009E48FE">
      <w:pPr>
        <w:pStyle w:val="Odsekzoznamu"/>
        <w:spacing w:after="0" w:line="360" w:lineRule="auto"/>
        <w:jc w:val="both"/>
      </w:pPr>
    </w:p>
    <w:p w:rsidR="002F708C" w:rsidRDefault="002F708C" w:rsidP="009E48FE">
      <w:pPr>
        <w:pStyle w:val="Odsekzoznamu"/>
        <w:spacing w:after="0" w:line="360" w:lineRule="auto"/>
        <w:jc w:val="both"/>
      </w:pPr>
    </w:p>
    <w:p w:rsidR="00CA3229" w:rsidRDefault="00CA3229" w:rsidP="009E48FE">
      <w:pPr>
        <w:pStyle w:val="Odsekzoznamu"/>
        <w:spacing w:after="0" w:line="360" w:lineRule="auto"/>
        <w:jc w:val="both"/>
      </w:pPr>
    </w:p>
    <w:p w:rsidR="00301847" w:rsidRDefault="00301847" w:rsidP="009E48FE">
      <w:pPr>
        <w:pStyle w:val="Odsekzoznamu"/>
        <w:spacing w:after="0" w:line="360" w:lineRule="auto"/>
        <w:jc w:val="both"/>
      </w:pPr>
    </w:p>
    <w:p w:rsidR="009E48FE" w:rsidRDefault="009E48FE" w:rsidP="009E48FE">
      <w:pPr>
        <w:pStyle w:val="Odsekzoznamu"/>
        <w:spacing w:after="0" w:line="360" w:lineRule="auto"/>
        <w:jc w:val="both"/>
      </w:pPr>
    </w:p>
    <w:p w:rsidR="001D60C3" w:rsidRPr="00783FBD" w:rsidRDefault="001D60C3" w:rsidP="00C971D1">
      <w:pPr>
        <w:pStyle w:val="Odsekzoznamu"/>
        <w:numPr>
          <w:ilvl w:val="0"/>
          <w:numId w:val="1"/>
        </w:numPr>
        <w:spacing w:line="240" w:lineRule="auto"/>
        <w:jc w:val="both"/>
        <w:rPr>
          <w:b/>
          <w:sz w:val="28"/>
        </w:rPr>
      </w:pPr>
      <w:r w:rsidRPr="00783FBD">
        <w:rPr>
          <w:b/>
          <w:sz w:val="28"/>
        </w:rPr>
        <w:t>VYKUROVANIE</w:t>
      </w:r>
    </w:p>
    <w:p w:rsidR="001D60C3" w:rsidRPr="00783FBD" w:rsidRDefault="00C4633C" w:rsidP="009E48FE">
      <w:pPr>
        <w:spacing w:after="0" w:line="360" w:lineRule="auto"/>
        <w:ind w:firstLine="360"/>
        <w:jc w:val="both"/>
        <w:rPr>
          <w:b/>
          <w:sz w:val="24"/>
        </w:rPr>
      </w:pPr>
      <w:r>
        <w:rPr>
          <w:b/>
          <w:sz w:val="24"/>
        </w:rPr>
        <w:t>2</w:t>
      </w:r>
      <w:r w:rsidR="001D60C3" w:rsidRPr="00783FBD">
        <w:rPr>
          <w:b/>
          <w:sz w:val="24"/>
        </w:rPr>
        <w:t>.1</w:t>
      </w:r>
      <w:r w:rsidR="00783FBD" w:rsidRPr="00783FBD">
        <w:rPr>
          <w:b/>
          <w:sz w:val="24"/>
        </w:rPr>
        <w:t>.</w:t>
      </w:r>
      <w:r w:rsidR="00783FBD" w:rsidRPr="00783FBD">
        <w:rPr>
          <w:b/>
          <w:sz w:val="24"/>
        </w:rPr>
        <w:tab/>
      </w:r>
      <w:r w:rsidR="001D60C3" w:rsidRPr="00783FBD">
        <w:rPr>
          <w:b/>
          <w:sz w:val="24"/>
        </w:rPr>
        <w:t>ÚVOD</w:t>
      </w:r>
    </w:p>
    <w:p w:rsidR="009E690D" w:rsidRDefault="00EF795E" w:rsidP="00301847">
      <w:pPr>
        <w:spacing w:after="0" w:line="276" w:lineRule="auto"/>
        <w:ind w:firstLine="360"/>
        <w:jc w:val="both"/>
      </w:pPr>
      <w:r>
        <w:t>Projekt rieši</w:t>
      </w:r>
      <w:r w:rsidR="00301847">
        <w:t xml:space="preserve"> </w:t>
      </w:r>
      <w:r w:rsidR="001D60C3">
        <w:t>konve</w:t>
      </w:r>
      <w:r w:rsidR="004835D4">
        <w:t>k</w:t>
      </w:r>
      <w:r w:rsidR="001D60C3">
        <w:t>čné vykurovanie priestor</w:t>
      </w:r>
      <w:r w:rsidR="002F708C">
        <w:t>o</w:t>
      </w:r>
      <w:r w:rsidR="00FA15E1">
        <w:t xml:space="preserve">v </w:t>
      </w:r>
      <w:r w:rsidR="00C20D6C">
        <w:t>prestavby 4. podlažia</w:t>
      </w:r>
      <w:r w:rsidR="001B6F50">
        <w:t>.</w:t>
      </w:r>
      <w:r w:rsidR="009E690D">
        <w:t xml:space="preserve"> </w:t>
      </w:r>
    </w:p>
    <w:p w:rsidR="004835D4" w:rsidRDefault="001D60C3" w:rsidP="00301847">
      <w:pPr>
        <w:spacing w:after="0" w:line="276" w:lineRule="auto"/>
        <w:ind w:firstLine="360"/>
        <w:jc w:val="both"/>
      </w:pPr>
      <w:r>
        <w:t xml:space="preserve">Vykurovanie je navrhnuté </w:t>
      </w:r>
      <w:r w:rsidR="00301847">
        <w:t xml:space="preserve">ako </w:t>
      </w:r>
      <w:r w:rsidR="00EF795E">
        <w:t>konvekčné radiátorové</w:t>
      </w:r>
      <w:r w:rsidR="00301847">
        <w:t xml:space="preserve"> v miestnostiach</w:t>
      </w:r>
      <w:r w:rsidR="00C9098F">
        <w:t xml:space="preserve"> na </w:t>
      </w:r>
      <w:r w:rsidR="00C20D6C">
        <w:t>4</w:t>
      </w:r>
      <w:r w:rsidR="00EF795E">
        <w:t>.N.P.</w:t>
      </w:r>
      <w:r w:rsidR="00FC5AA2">
        <w:t>.</w:t>
      </w:r>
    </w:p>
    <w:p w:rsidR="004835D4" w:rsidRDefault="001D60C3" w:rsidP="00301847">
      <w:pPr>
        <w:spacing w:line="276" w:lineRule="auto"/>
        <w:ind w:firstLine="357"/>
        <w:jc w:val="both"/>
      </w:pPr>
      <w:r>
        <w:t>Projekt vykurovania rieši výpočet tepelných strát a návrh jednotlivých vykurovacích telies. Projekt nerieši hydraulické vyregulovanie danej sústavy.</w:t>
      </w:r>
    </w:p>
    <w:p w:rsidR="00D832E7" w:rsidRPr="00E674C9" w:rsidRDefault="00C4633C" w:rsidP="009E48FE">
      <w:pPr>
        <w:spacing w:after="0" w:line="360" w:lineRule="auto"/>
        <w:ind w:firstLine="357"/>
        <w:jc w:val="both"/>
        <w:rPr>
          <w:b/>
          <w:sz w:val="24"/>
        </w:rPr>
      </w:pPr>
      <w:r>
        <w:rPr>
          <w:b/>
          <w:sz w:val="24"/>
        </w:rPr>
        <w:t>2</w:t>
      </w:r>
      <w:r w:rsidR="00D832E7" w:rsidRPr="00E674C9">
        <w:rPr>
          <w:b/>
          <w:sz w:val="24"/>
        </w:rPr>
        <w:t>.3</w:t>
      </w:r>
      <w:r w:rsidR="007A2AF2" w:rsidRPr="00E674C9">
        <w:rPr>
          <w:b/>
          <w:sz w:val="24"/>
        </w:rPr>
        <w:t>.</w:t>
      </w:r>
      <w:r w:rsidR="007A2AF2" w:rsidRPr="00E674C9">
        <w:rPr>
          <w:b/>
          <w:sz w:val="24"/>
        </w:rPr>
        <w:tab/>
      </w:r>
      <w:r w:rsidR="00D832E7" w:rsidRPr="00E674C9">
        <w:rPr>
          <w:b/>
          <w:sz w:val="24"/>
        </w:rPr>
        <w:t>POPIS</w:t>
      </w:r>
    </w:p>
    <w:p w:rsidR="00EF795E" w:rsidRDefault="00EF795E" w:rsidP="00EF795E">
      <w:pPr>
        <w:spacing w:after="0" w:line="276" w:lineRule="auto"/>
        <w:ind w:firstLine="357"/>
        <w:jc w:val="both"/>
      </w:pPr>
      <w:r>
        <w:t>V</w:t>
      </w:r>
      <w:r w:rsidR="00C20D6C">
        <w:t> riešenej časti</w:t>
      </w:r>
      <w:r>
        <w:t xml:space="preserve"> je navrhnuté konvekčné radiátorové vykurovanie</w:t>
      </w:r>
      <w:r w:rsidR="00C20D6C">
        <w:t xml:space="preserve"> s výpočtovým tepelným spádom 50/40</w:t>
      </w:r>
      <w:r>
        <w:t xml:space="preserve">°C. </w:t>
      </w:r>
    </w:p>
    <w:p w:rsidR="00E532AD" w:rsidRDefault="00C9098F" w:rsidP="00E532AD">
      <w:pPr>
        <w:pStyle w:val="05MJText"/>
      </w:pPr>
      <w:r>
        <w:t xml:space="preserve">Vykurovanie </w:t>
      </w:r>
      <w:r w:rsidR="00C20D6C">
        <w:t>4. nadzemného podlažia</w:t>
      </w:r>
      <w:r>
        <w:t xml:space="preserve"> bude napojené na existujúci systém vykurovania.</w:t>
      </w:r>
    </w:p>
    <w:p w:rsidR="000B3854" w:rsidRPr="005A6065" w:rsidRDefault="000B3854" w:rsidP="000B3854">
      <w:pPr>
        <w:spacing w:after="0" w:line="276" w:lineRule="auto"/>
        <w:ind w:firstLine="357"/>
        <w:jc w:val="both"/>
      </w:pPr>
      <w:r>
        <w:t>Rozvody</w:t>
      </w:r>
      <w:r w:rsidRPr="005A6065">
        <w:t xml:space="preserve"> konvekčného vykurovania k vykurovacím telesám sú v projektovej dokumentácii navrhnuté dvojrúrkové</w:t>
      </w:r>
      <w:r>
        <w:t xml:space="preserve"> </w:t>
      </w:r>
      <w:r w:rsidRPr="005A6065">
        <w:t>symetrické z</w:t>
      </w:r>
      <w:r>
        <w:t xml:space="preserve"> potrubia </w:t>
      </w:r>
      <w:r w:rsidR="00C20D6C">
        <w:t>z uhlíkovej ocele</w:t>
      </w:r>
      <w:r>
        <w:t>, uložených v drážke v stene v podlahe.</w:t>
      </w:r>
    </w:p>
    <w:p w:rsidR="00501B1F" w:rsidRPr="005A6065" w:rsidRDefault="00501B1F" w:rsidP="00340904">
      <w:pPr>
        <w:spacing w:after="0" w:line="276" w:lineRule="auto"/>
        <w:ind w:firstLine="357"/>
        <w:jc w:val="both"/>
      </w:pPr>
      <w:r w:rsidRPr="005A6065">
        <w:t xml:space="preserve">Spájanie častí potrubia realizovať pomocou lisovaných tvaroviek, napojenie rúrok </w:t>
      </w:r>
      <w:r w:rsidR="00ED2F93" w:rsidRPr="005A6065">
        <w:t>na jednotlivé typy armatúr (uzatváracie, regulačné atď.) realizovať pomocou prechodiek pre plasthliníkové rúrky. Rúrky je zakázané ohýbať cez ostré hrany. Zaoblenie vytvárať s dodržaním minimálnych polomerov uvedených v podklado</w:t>
      </w:r>
      <w:r w:rsidR="005A6065">
        <w:t>ch výrobcu. Pri redukcii</w:t>
      </w:r>
      <w:r w:rsidR="00ED2F93" w:rsidRPr="005A6065">
        <w:t xml:space="preserve"> je nutné redukovať potrubie o 2 rady, za ním použiť rovný úsek s minimálnou dĺžkou 20 cm a potom je možné opäť použiť redukciu. </w:t>
      </w:r>
    </w:p>
    <w:p w:rsidR="00ED2F93" w:rsidRPr="005A6065" w:rsidRDefault="003B778A" w:rsidP="00731C2A">
      <w:pPr>
        <w:spacing w:after="0" w:line="276" w:lineRule="auto"/>
        <w:ind w:firstLine="357"/>
        <w:jc w:val="both"/>
      </w:pPr>
      <w:r>
        <w:t>D</w:t>
      </w:r>
      <w:r w:rsidR="00ED2F93" w:rsidRPr="005A6065">
        <w:t>oskové vykurovacie teles</w:t>
      </w:r>
      <w:r w:rsidR="007B7EAB">
        <w:t>o</w:t>
      </w:r>
      <w:r w:rsidR="00E532AD">
        <w:t xml:space="preserve"> </w:t>
      </w:r>
      <w:r w:rsidR="007B7EAB">
        <w:t xml:space="preserve"> je</w:t>
      </w:r>
      <w:r w:rsidR="00ED2F93" w:rsidRPr="005A6065">
        <w:t xml:space="preserve"> </w:t>
      </w:r>
      <w:r w:rsidR="007B7EAB">
        <w:t>riešené typom pripojenia</w:t>
      </w:r>
      <w:r w:rsidR="002D4DB9">
        <w:t xml:space="preserve"> Ventil</w:t>
      </w:r>
      <w:r w:rsidR="007B7EAB">
        <w:t xml:space="preserve"> </w:t>
      </w:r>
      <w:r w:rsidR="00ED2F93" w:rsidRPr="005A6065">
        <w:t>Kompakt s umiestneným na</w:t>
      </w:r>
      <w:r>
        <w:t xml:space="preserve"> </w:t>
      </w:r>
      <w:r w:rsidR="0065630B">
        <w:t>prav</w:t>
      </w:r>
      <w:r w:rsidR="00ED2F93" w:rsidRPr="005A6065">
        <w:t xml:space="preserve">ej </w:t>
      </w:r>
      <w:r w:rsidR="00F64B70">
        <w:t xml:space="preserve">a ľavej </w:t>
      </w:r>
      <w:r w:rsidR="00ED2F93" w:rsidRPr="005A6065">
        <w:t>strane – zrejmé z výkresovej dokumentácie.</w:t>
      </w:r>
      <w:r>
        <w:t xml:space="preserve"> Rúrkové vykurovacie teles</w:t>
      </w:r>
      <w:r w:rsidR="002D4DB9">
        <w:t>o je</w:t>
      </w:r>
      <w:r>
        <w:t xml:space="preserve"> pripojené cez regulačný ventil na prívodnom, uzatvárateľným šróbením na vratnom potrubí. </w:t>
      </w:r>
    </w:p>
    <w:p w:rsidR="00ED2F93" w:rsidRDefault="00ED2F93" w:rsidP="00223014">
      <w:pPr>
        <w:spacing w:before="240" w:after="0" w:line="360" w:lineRule="auto"/>
        <w:jc w:val="both"/>
        <w:rPr>
          <w:b/>
        </w:rPr>
      </w:pPr>
      <w:r w:rsidRPr="005A6065">
        <w:rPr>
          <w:b/>
        </w:rPr>
        <w:t>Tepelné izolácie</w:t>
      </w:r>
    </w:p>
    <w:p w:rsidR="00ED2F93" w:rsidRDefault="00ED2F93" w:rsidP="009F6A4A">
      <w:pPr>
        <w:spacing w:after="0" w:line="276" w:lineRule="auto"/>
        <w:ind w:firstLine="708"/>
        <w:jc w:val="both"/>
      </w:pPr>
      <w:r w:rsidRPr="005A6065">
        <w:t xml:space="preserve">Potrubné rozvody </w:t>
      </w:r>
      <w:r w:rsidR="009F6A4A">
        <w:t xml:space="preserve">podlahového vykurovania sú </w:t>
      </w:r>
      <w:r w:rsidRPr="005A6065">
        <w:t>vedené</w:t>
      </w:r>
      <w:r w:rsidR="009F6A4A">
        <w:t xml:space="preserve"> po celej dĺžke v konštrukcii podlahy, preto nie sú izolované. Potrubia vedené voľne v priestore sú</w:t>
      </w:r>
      <w:r w:rsidRPr="005A6065">
        <w:t xml:space="preserve"> izolované trubicami Mirelon s hrúbkou steny </w:t>
      </w:r>
      <w:r w:rsidR="00307859">
        <w:t xml:space="preserve">min. </w:t>
      </w:r>
      <w:r w:rsidRPr="005A6065">
        <w:t>25 mm.</w:t>
      </w:r>
    </w:p>
    <w:p w:rsidR="00ED2F93" w:rsidRPr="005A6065" w:rsidRDefault="00CA03C1" w:rsidP="00223014">
      <w:pPr>
        <w:spacing w:before="240" w:after="0" w:line="360" w:lineRule="auto"/>
        <w:jc w:val="both"/>
        <w:rPr>
          <w:b/>
        </w:rPr>
      </w:pPr>
      <w:r>
        <w:rPr>
          <w:b/>
        </w:rPr>
        <w:t>P</w:t>
      </w:r>
      <w:r w:rsidR="00ED2F93" w:rsidRPr="005A6065">
        <w:rPr>
          <w:b/>
        </w:rPr>
        <w:t>ožiadavky na montáž</w:t>
      </w:r>
    </w:p>
    <w:p w:rsidR="00ED2F93" w:rsidRPr="005A6065" w:rsidRDefault="00ED2F93" w:rsidP="009F6A4A">
      <w:pPr>
        <w:spacing w:line="276" w:lineRule="auto"/>
        <w:ind w:firstLine="708"/>
        <w:jc w:val="both"/>
      </w:pPr>
      <w:r w:rsidRPr="005A6065">
        <w:t xml:space="preserve">Pri výrobe a montáži rozvodu sa musí </w:t>
      </w:r>
      <w:r w:rsidR="00D32779" w:rsidRPr="005A6065">
        <w:t>použiť potrubie predpísanej akosti a druhu. Vnútorný prierez potrubia musí byť čistý. Pri montáži potrubia dodržať výrobcom pre</w:t>
      </w:r>
      <w:r w:rsidR="00E674C9">
        <w:t>dpísaný technologický postup montáže</w:t>
      </w:r>
      <w:r w:rsidR="00D32779" w:rsidRPr="005A6065">
        <w:t>, vedenia a uloženia s použitím výrobcom doporučeného náradia. Voľné konce potrubia je nutné zabezpečiť proti vniknutiu nečistôt napr. zazátkovaním.</w:t>
      </w:r>
    </w:p>
    <w:p w:rsidR="00D32779" w:rsidRPr="009E48FE" w:rsidRDefault="00C4633C" w:rsidP="00223014">
      <w:pPr>
        <w:spacing w:after="0" w:line="360" w:lineRule="auto"/>
        <w:ind w:firstLine="357"/>
        <w:jc w:val="both"/>
        <w:rPr>
          <w:b/>
          <w:sz w:val="24"/>
        </w:rPr>
      </w:pPr>
      <w:r>
        <w:rPr>
          <w:b/>
          <w:sz w:val="24"/>
        </w:rPr>
        <w:t>2</w:t>
      </w:r>
      <w:r w:rsidR="00D32779" w:rsidRPr="009E48FE">
        <w:rPr>
          <w:b/>
          <w:sz w:val="24"/>
        </w:rPr>
        <w:t>.4</w:t>
      </w:r>
      <w:r w:rsidR="00E674C9" w:rsidRPr="009E48FE">
        <w:rPr>
          <w:b/>
          <w:sz w:val="24"/>
        </w:rPr>
        <w:t>.</w:t>
      </w:r>
      <w:r w:rsidR="00E674C9" w:rsidRPr="009E48FE">
        <w:rPr>
          <w:b/>
          <w:sz w:val="24"/>
        </w:rPr>
        <w:tab/>
      </w:r>
      <w:r w:rsidR="00D32779" w:rsidRPr="009E48FE">
        <w:rPr>
          <w:b/>
          <w:sz w:val="24"/>
        </w:rPr>
        <w:t>SKÚŠKY ZARIADENIA</w:t>
      </w:r>
    </w:p>
    <w:p w:rsidR="00D32779" w:rsidRPr="005A6065" w:rsidRDefault="00D32779" w:rsidP="009F6A4A">
      <w:pPr>
        <w:spacing w:after="0" w:line="276" w:lineRule="auto"/>
        <w:ind w:firstLine="357"/>
        <w:jc w:val="both"/>
      </w:pPr>
      <w:r w:rsidRPr="005A6065">
        <w:t>Skúšky zariadenia sa vykonajú podľa STN 06 0310, čl. 131 až 143.</w:t>
      </w:r>
    </w:p>
    <w:p w:rsidR="00D32779" w:rsidRPr="005A6065" w:rsidRDefault="00D32779" w:rsidP="009F6A4A">
      <w:pPr>
        <w:spacing w:after="0" w:line="276" w:lineRule="auto"/>
        <w:ind w:firstLine="357"/>
        <w:jc w:val="both"/>
      </w:pPr>
      <w:r w:rsidRPr="005A6065">
        <w:t>Pred vyskúšaním a uvedením do prevádzky sa zariadenie musí dôkladne prepláchnuť. Jednotlivé zariadenia sa vyskúšajú podľa návodu od výrobcov. Uvedenie kotlov do prevádzky vykoná servis. Na zariadenie sa vykonajú skúšky tesnosti, prevádzkové skúšky, dilatačná a vykurovacia skúška.</w:t>
      </w:r>
    </w:p>
    <w:p w:rsidR="00D32779" w:rsidRPr="005A6065" w:rsidRDefault="00D32779" w:rsidP="009F6A4A">
      <w:pPr>
        <w:spacing w:after="0" w:line="276" w:lineRule="auto"/>
        <w:ind w:firstLine="357"/>
        <w:jc w:val="both"/>
      </w:pPr>
      <w:r w:rsidRPr="005A6065">
        <w:t>Skúška tesnosti sa vykoná pri pracovnom pretlaku 0,30 MPa. Dilatačná skúška sa vykoná vykurovacou vodou, zohriatou na teplotu 80°C a nechá sa voľne vychladnúť na teplotu okolitého vzduchu. Tento postup sa zopakuje ešte 1x. Výsledok skúšky sa zapíše do stavebného denníka. Skúšky sa vykonajú za prítomnosti zástupcu investora.</w:t>
      </w:r>
    </w:p>
    <w:p w:rsidR="009E48FE" w:rsidRPr="009E48FE" w:rsidRDefault="00D32779" w:rsidP="009F6A4A">
      <w:pPr>
        <w:spacing w:line="276" w:lineRule="auto"/>
        <w:ind w:firstLine="357"/>
        <w:jc w:val="both"/>
      </w:pPr>
      <w:r w:rsidRPr="005A6065">
        <w:lastRenderedPageBreak/>
        <w:t>Vykurovacia skúška trvá 72 hodín nepretržite. Preukáže sa pri nej správnosť a úplnosť montáže a dosiahnutie projektovaných parametrov. Vykurovacia skúška musí byť vykonaná vo vykurovacom období. Skúška sa vykoná za účasti dodávateľa, investora a projektanta. Výsledok skúšky sa zapíše do stavebného denníka a vystaví sa protokol.</w:t>
      </w:r>
    </w:p>
    <w:p w:rsidR="00D32779" w:rsidRPr="009E48FE" w:rsidRDefault="00C4633C" w:rsidP="00885696">
      <w:pPr>
        <w:spacing w:after="0" w:line="240" w:lineRule="auto"/>
        <w:ind w:firstLine="357"/>
        <w:jc w:val="both"/>
        <w:rPr>
          <w:b/>
          <w:sz w:val="24"/>
        </w:rPr>
      </w:pPr>
      <w:r>
        <w:rPr>
          <w:b/>
          <w:sz w:val="24"/>
        </w:rPr>
        <w:t>2</w:t>
      </w:r>
      <w:r w:rsidR="00E674C9" w:rsidRPr="009E48FE">
        <w:rPr>
          <w:b/>
          <w:sz w:val="24"/>
        </w:rPr>
        <w:t>.5.</w:t>
      </w:r>
      <w:r w:rsidR="00E674C9" w:rsidRPr="009E48FE">
        <w:rPr>
          <w:b/>
          <w:sz w:val="24"/>
        </w:rPr>
        <w:tab/>
      </w:r>
      <w:r w:rsidR="00884F41" w:rsidRPr="009E48FE">
        <w:rPr>
          <w:b/>
          <w:sz w:val="24"/>
        </w:rPr>
        <w:t>POŽIADAVKY NA OSTATNÉ PROFESIE</w:t>
      </w:r>
    </w:p>
    <w:p w:rsidR="00884F41" w:rsidRPr="005A6065" w:rsidRDefault="00884F41" w:rsidP="00223014">
      <w:pPr>
        <w:spacing w:before="240" w:after="0" w:line="360" w:lineRule="auto"/>
        <w:jc w:val="both"/>
        <w:rPr>
          <w:b/>
        </w:rPr>
      </w:pPr>
      <w:r w:rsidRPr="005A6065">
        <w:rPr>
          <w:b/>
        </w:rPr>
        <w:t>Stavebná časť</w:t>
      </w:r>
    </w:p>
    <w:p w:rsidR="00884F41" w:rsidRDefault="00884F41" w:rsidP="00223014">
      <w:pPr>
        <w:pStyle w:val="Odsekzoznamu"/>
        <w:numPr>
          <w:ilvl w:val="0"/>
          <w:numId w:val="2"/>
        </w:numPr>
        <w:spacing w:after="0" w:line="360" w:lineRule="auto"/>
        <w:jc w:val="both"/>
      </w:pPr>
      <w:r w:rsidRPr="005A6065">
        <w:t xml:space="preserve">Do stavebných dodávok je nutné zahrnúť potrebné </w:t>
      </w:r>
      <w:r w:rsidR="00C971D1">
        <w:t>prierazy murív, stien a</w:t>
      </w:r>
      <w:r w:rsidR="004348EA">
        <w:t> </w:t>
      </w:r>
      <w:r w:rsidR="00C971D1">
        <w:t>stropov</w:t>
      </w:r>
    </w:p>
    <w:p w:rsidR="004348EA" w:rsidRPr="005A6065" w:rsidRDefault="004348EA" w:rsidP="00223014">
      <w:pPr>
        <w:pStyle w:val="Odsekzoznamu"/>
        <w:numPr>
          <w:ilvl w:val="0"/>
          <w:numId w:val="2"/>
        </w:numPr>
        <w:spacing w:after="0" w:line="360" w:lineRule="auto"/>
        <w:jc w:val="both"/>
      </w:pPr>
    </w:p>
    <w:p w:rsidR="00884F41" w:rsidRPr="00C971D1" w:rsidRDefault="00884F41" w:rsidP="00C971D1">
      <w:pPr>
        <w:pStyle w:val="Odsekzoznamu"/>
        <w:numPr>
          <w:ilvl w:val="0"/>
          <w:numId w:val="1"/>
        </w:numPr>
        <w:spacing w:line="240" w:lineRule="auto"/>
        <w:jc w:val="both"/>
        <w:rPr>
          <w:b/>
          <w:sz w:val="28"/>
        </w:rPr>
      </w:pPr>
      <w:r w:rsidRPr="00C971D1">
        <w:rPr>
          <w:b/>
          <w:sz w:val="28"/>
        </w:rPr>
        <w:t>SPOLOČNÉ PODMIENKY</w:t>
      </w:r>
    </w:p>
    <w:p w:rsidR="00884F41" w:rsidRPr="005A6065" w:rsidRDefault="00884F41" w:rsidP="009F6A4A">
      <w:pPr>
        <w:spacing w:after="0" w:line="276" w:lineRule="auto"/>
        <w:ind w:firstLine="360"/>
        <w:jc w:val="both"/>
      </w:pPr>
      <w:r w:rsidRPr="005A6065">
        <w:t>Montáž kúrenárskych inštalácií môže vykonať iba organizácia, ktorá má pre túto činnosť oprávnenie a vyškolených pracovníkov, ktorí spĺňajú podmienky odbornej spôsobilosti pre vykonávanie predmetných montážnych prác. O priebehu stavebných a montážnych prác sa vedie záznam v stavebnom denníku.</w:t>
      </w:r>
    </w:p>
    <w:p w:rsidR="00884F41" w:rsidRPr="005A6065" w:rsidRDefault="00884F41" w:rsidP="009F6A4A">
      <w:pPr>
        <w:spacing w:after="0" w:line="276" w:lineRule="auto"/>
        <w:ind w:firstLine="360"/>
        <w:jc w:val="both"/>
      </w:pPr>
      <w:r w:rsidRPr="005A6065">
        <w:t>Použité stavebné materiály a výrobky musia vyhovovať podmienkam stavebného zákona a zákona o stavebných výrobkoch. Montážne práce budú vykonávané podľa platných technických noriem a</w:t>
      </w:r>
      <w:r w:rsidR="00C971D1">
        <w:t> </w:t>
      </w:r>
      <w:r w:rsidR="008F4A6F" w:rsidRPr="005A6065">
        <w:t>technologických</w:t>
      </w:r>
      <w:r w:rsidR="00C971D1">
        <w:t xml:space="preserve"> </w:t>
      </w:r>
      <w:r w:rsidR="008F4A6F" w:rsidRPr="005A6065">
        <w:t>predpisov výrobcov stavebných materiálov a výrobkov, s dodržaním platných bezpečnostných predpisov.</w:t>
      </w:r>
    </w:p>
    <w:p w:rsidR="008F4A6F" w:rsidRPr="005A6065" w:rsidRDefault="008F4A6F" w:rsidP="009F6A4A">
      <w:pPr>
        <w:spacing w:line="276" w:lineRule="auto"/>
        <w:ind w:firstLine="360"/>
        <w:jc w:val="both"/>
      </w:pPr>
      <w:r w:rsidRPr="005A6065">
        <w:t xml:space="preserve">Pri realizácii </w:t>
      </w:r>
      <w:r w:rsidR="00C971D1">
        <w:t>je potrebné rešpektovať existujú</w:t>
      </w:r>
      <w:r w:rsidRPr="005A6065">
        <w:t xml:space="preserve">ce podzemné a nadzemné zariadenia. Pred začatím stavebných prác je potrebné všetky existujúce podzemné vedenia nechať vytýčiť ich správcom. Pri križovaní a súbehu navrhovaného potrubia s existujúcimi sieťami je potrebné dodržať podmienky STN 73 6005. V miestach križovania navrhovaného potrubia s existujúcimi vedeniami a v miestach, kde by mohol nastať ich poškodenie, je potrebné robiť ručný výkop. </w:t>
      </w:r>
    </w:p>
    <w:p w:rsidR="008F4A6F" w:rsidRPr="005F732A" w:rsidRDefault="00C4633C" w:rsidP="005F732A">
      <w:pPr>
        <w:spacing w:after="0" w:line="360" w:lineRule="auto"/>
        <w:ind w:firstLine="360"/>
        <w:jc w:val="both"/>
        <w:rPr>
          <w:b/>
          <w:sz w:val="24"/>
        </w:rPr>
      </w:pPr>
      <w:r>
        <w:rPr>
          <w:b/>
          <w:sz w:val="24"/>
        </w:rPr>
        <w:t>3</w:t>
      </w:r>
      <w:r w:rsidR="008F4A6F" w:rsidRPr="005F732A">
        <w:rPr>
          <w:b/>
          <w:sz w:val="24"/>
        </w:rPr>
        <w:t xml:space="preserve">.1. </w:t>
      </w:r>
      <w:r w:rsidR="005F732A">
        <w:rPr>
          <w:b/>
          <w:sz w:val="24"/>
        </w:rPr>
        <w:tab/>
      </w:r>
      <w:r w:rsidR="008F4A6F" w:rsidRPr="005F732A">
        <w:rPr>
          <w:b/>
          <w:sz w:val="24"/>
        </w:rPr>
        <w:t>BEZPEČNOSŤ A OCHRANA ZDRAVIA PRI PRÁCI</w:t>
      </w:r>
    </w:p>
    <w:p w:rsidR="008F4A6F" w:rsidRPr="005A6065" w:rsidRDefault="008F4A6F" w:rsidP="009F6A4A">
      <w:pPr>
        <w:spacing w:line="276" w:lineRule="auto"/>
        <w:ind w:firstLine="360"/>
        <w:jc w:val="both"/>
      </w:pPr>
      <w:r w:rsidRPr="005A6065">
        <w:t>Pred začatím prác je investor povinný overiť a vytýčiť všetky vedenia v záujmovom území. Pri prevádzaní prác je potrebné postupovať tak, aby nedošlo k ich porušeniu. Pri prevádzaní inštalačných a stavebných prác je nutné dodržať všetky súvisiace vyhlášky, normy, STN, najmä SÚBO, SGÚ č. 374/90 Zb., STN 73 6760, STN 73 6005 a STN 73 6660, STN 73 3005, bezpečnostné predpisy a predpisy súvisiace s PO. Všetky navrhnuté výrobky a zariadenia je nutné montovať a prevádzkovať podľa pokynov výrobcu a bezpečnostných predpisov.</w:t>
      </w:r>
    </w:p>
    <w:p w:rsidR="008F4A6F" w:rsidRPr="005F732A" w:rsidRDefault="00C4633C" w:rsidP="005F732A">
      <w:pPr>
        <w:spacing w:after="0" w:line="360" w:lineRule="auto"/>
        <w:ind w:firstLine="360"/>
        <w:jc w:val="both"/>
        <w:rPr>
          <w:b/>
          <w:sz w:val="24"/>
        </w:rPr>
      </w:pPr>
      <w:r>
        <w:rPr>
          <w:b/>
          <w:sz w:val="24"/>
        </w:rPr>
        <w:t>3</w:t>
      </w:r>
      <w:r w:rsidR="005F732A">
        <w:rPr>
          <w:b/>
          <w:sz w:val="24"/>
        </w:rPr>
        <w:t>.2.</w:t>
      </w:r>
      <w:r w:rsidR="005F732A">
        <w:rPr>
          <w:b/>
          <w:sz w:val="24"/>
        </w:rPr>
        <w:tab/>
      </w:r>
      <w:r w:rsidR="008F4A6F" w:rsidRPr="005F732A">
        <w:rPr>
          <w:b/>
          <w:sz w:val="24"/>
        </w:rPr>
        <w:t>ZÁVER</w:t>
      </w:r>
    </w:p>
    <w:p w:rsidR="008F4A6F" w:rsidRPr="005A6065" w:rsidRDefault="008F4A6F" w:rsidP="009F6A4A">
      <w:pPr>
        <w:spacing w:after="0" w:line="276" w:lineRule="auto"/>
        <w:ind w:firstLine="360"/>
        <w:jc w:val="both"/>
      </w:pPr>
      <w:r w:rsidRPr="005A6065">
        <w:t>Pri dodržaní postupov podľa pokynov výrobcov jednotlivých častí budú splnené aj požiadavky na správnu a bezchybnú funkčnosť inštalácií.</w:t>
      </w:r>
    </w:p>
    <w:p w:rsidR="008F4A6F" w:rsidRPr="005A6065" w:rsidRDefault="008F4A6F" w:rsidP="009F6A4A">
      <w:pPr>
        <w:spacing w:line="276" w:lineRule="auto"/>
        <w:ind w:firstLine="360"/>
        <w:jc w:val="both"/>
      </w:pPr>
      <w:r w:rsidRPr="005A6065">
        <w:t>Akákoľvek zmena musí byť najprv prekonzultovaná s projektantom ÚK.</w:t>
      </w:r>
    </w:p>
    <w:p w:rsidR="008F4A6F" w:rsidRDefault="008F4A6F" w:rsidP="005A6065">
      <w:pPr>
        <w:spacing w:line="360" w:lineRule="auto"/>
        <w:jc w:val="both"/>
      </w:pPr>
    </w:p>
    <w:p w:rsidR="00C20D6C" w:rsidRDefault="00C20D6C" w:rsidP="005A6065">
      <w:pPr>
        <w:spacing w:line="360" w:lineRule="auto"/>
        <w:jc w:val="both"/>
      </w:pPr>
    </w:p>
    <w:p w:rsidR="00C45D8A" w:rsidRDefault="00E438EE" w:rsidP="00C45D8A">
      <w:pPr>
        <w:pStyle w:val="05MJText"/>
        <w:tabs>
          <w:tab w:val="center" w:pos="1134"/>
          <w:tab w:val="center" w:pos="3969"/>
          <w:tab w:val="center" w:pos="7371"/>
        </w:tabs>
        <w:ind w:firstLine="0"/>
      </w:pPr>
      <w:r>
        <w:t>Gemerskom Jablonci</w:t>
      </w:r>
      <w:r w:rsidR="00C45D8A">
        <w:tab/>
      </w:r>
      <w:r w:rsidR="00C45D8A">
        <w:rPr>
          <w:color w:val="BFBFBF" w:themeColor="background1" w:themeShade="BF"/>
        </w:rPr>
        <w:t xml:space="preserve">................................................. </w:t>
      </w:r>
      <w:r w:rsidR="00C45D8A">
        <w:rPr>
          <w:color w:val="BFBFBF" w:themeColor="background1" w:themeShade="BF"/>
        </w:rPr>
        <w:tab/>
        <w:t>.................................................</w:t>
      </w:r>
    </w:p>
    <w:p w:rsidR="008F4A6F" w:rsidRDefault="00307859" w:rsidP="001B6F50">
      <w:pPr>
        <w:pStyle w:val="05MJText"/>
        <w:tabs>
          <w:tab w:val="center" w:pos="1134"/>
          <w:tab w:val="center" w:pos="3969"/>
          <w:tab w:val="center" w:pos="7371"/>
        </w:tabs>
        <w:ind w:firstLine="0"/>
      </w:pPr>
      <w:r>
        <w:tab/>
      </w:r>
      <w:r w:rsidR="00C20D6C">
        <w:t>November 2023</w:t>
      </w:r>
      <w:bookmarkStart w:id="0" w:name="_GoBack"/>
      <w:bookmarkEnd w:id="0"/>
      <w:r w:rsidR="009F6A4A">
        <w:tab/>
        <w:t>Ing. Ladislav Ťažký</w:t>
      </w:r>
      <w:r w:rsidR="00E438EE">
        <w:t>, PhD.</w:t>
      </w:r>
      <w:r w:rsidR="009F6A4A">
        <w:tab/>
        <w:t>Ing</w:t>
      </w:r>
      <w:r w:rsidR="00C45D8A">
        <w:t xml:space="preserve">. Alexandra </w:t>
      </w:r>
      <w:r w:rsidR="00E438EE">
        <w:t>Ťažká</w:t>
      </w:r>
    </w:p>
    <w:sectPr w:rsidR="008F4A6F" w:rsidSect="004B6B3D">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5BDC" w:rsidRDefault="00D05BDC" w:rsidP="005F732A">
      <w:pPr>
        <w:spacing w:after="0" w:line="240" w:lineRule="auto"/>
      </w:pPr>
      <w:r>
        <w:separator/>
      </w:r>
    </w:p>
  </w:endnote>
  <w:endnote w:type="continuationSeparator" w:id="0">
    <w:p w:rsidR="00D05BDC" w:rsidRDefault="00D05BDC" w:rsidP="005F73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8282096"/>
      <w:docPartObj>
        <w:docPartGallery w:val="Page Numbers (Bottom of Page)"/>
        <w:docPartUnique/>
      </w:docPartObj>
    </w:sdtPr>
    <w:sdtContent>
      <w:p w:rsidR="00BA5A61" w:rsidRDefault="002345C1">
        <w:pPr>
          <w:pStyle w:val="Pta"/>
          <w:jc w:val="right"/>
        </w:pPr>
        <w:r>
          <w:fldChar w:fldCharType="begin"/>
        </w:r>
        <w:r w:rsidR="00BA5A61">
          <w:instrText xml:space="preserve"> PAGE   \* MERGEFORMAT </w:instrText>
        </w:r>
        <w:r>
          <w:fldChar w:fldCharType="separate"/>
        </w:r>
        <w:r w:rsidR="002A4A2D">
          <w:rPr>
            <w:noProof/>
          </w:rPr>
          <w:t>3</w:t>
        </w:r>
        <w:r>
          <w:rPr>
            <w:noProof/>
          </w:rPr>
          <w:fldChar w:fldCharType="end"/>
        </w:r>
      </w:p>
    </w:sdtContent>
  </w:sdt>
  <w:p w:rsidR="00BA5A61" w:rsidRDefault="00BA5A61">
    <w:pPr>
      <w:pStyle w:val="Pt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5BDC" w:rsidRDefault="00D05BDC" w:rsidP="005F732A">
      <w:pPr>
        <w:spacing w:after="0" w:line="240" w:lineRule="auto"/>
      </w:pPr>
      <w:r>
        <w:separator/>
      </w:r>
    </w:p>
  </w:footnote>
  <w:footnote w:type="continuationSeparator" w:id="0">
    <w:p w:rsidR="00D05BDC" w:rsidRDefault="00D05BDC" w:rsidP="005F732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68215C"/>
    <w:multiLevelType w:val="hybridMultilevel"/>
    <w:tmpl w:val="DE1A3BD4"/>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1C5E69F2"/>
    <w:multiLevelType w:val="hybridMultilevel"/>
    <w:tmpl w:val="571A014A"/>
    <w:lvl w:ilvl="0" w:tplc="757A4526">
      <w:numFmt w:val="bullet"/>
      <w:lvlText w:val="-"/>
      <w:lvlJc w:val="left"/>
      <w:pPr>
        <w:ind w:left="1146" w:hanging="360"/>
      </w:pPr>
      <w:rPr>
        <w:rFonts w:ascii="Times New Roman" w:eastAsia="Times New Roman" w:hAnsi="Times New Roman" w:cs="Times New Roman"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nsid w:val="350A051D"/>
    <w:multiLevelType w:val="multilevel"/>
    <w:tmpl w:val="09F2CC64"/>
    <w:styleLink w:val="A2345"/>
    <w:lvl w:ilvl="0">
      <w:start w:val="1"/>
      <w:numFmt w:val="upp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429222FE"/>
    <w:multiLevelType w:val="hybridMultilevel"/>
    <w:tmpl w:val="A1468F24"/>
    <w:lvl w:ilvl="0" w:tplc="4B36A3D6">
      <w:start w:val="1"/>
      <w:numFmt w:val="decimal"/>
      <w:lvlText w:val="%1."/>
      <w:lvlJc w:val="left"/>
      <w:pPr>
        <w:ind w:left="720" w:hanging="360"/>
      </w:pPr>
      <w:rPr>
        <w:rFonts w:hint="default"/>
      </w:rPr>
    </w:lvl>
    <w:lvl w:ilvl="1" w:tplc="F0849482">
      <w:start w:val="1"/>
      <w:numFmt w:val="lowerLetter"/>
      <w:lvlText w:val="%2."/>
      <w:lvlJc w:val="left"/>
      <w:pPr>
        <w:ind w:left="1440" w:hanging="360"/>
      </w:pPr>
    </w:lvl>
    <w:lvl w:ilvl="2" w:tplc="D17ABEDA" w:tentative="1">
      <w:start w:val="1"/>
      <w:numFmt w:val="lowerRoman"/>
      <w:lvlText w:val="%3."/>
      <w:lvlJc w:val="right"/>
      <w:pPr>
        <w:ind w:left="2160" w:hanging="180"/>
      </w:pPr>
    </w:lvl>
    <w:lvl w:ilvl="3" w:tplc="507E5EE8" w:tentative="1">
      <w:start w:val="1"/>
      <w:numFmt w:val="decimal"/>
      <w:lvlText w:val="%4."/>
      <w:lvlJc w:val="left"/>
      <w:pPr>
        <w:ind w:left="2880" w:hanging="360"/>
      </w:pPr>
    </w:lvl>
    <w:lvl w:ilvl="4" w:tplc="87C8ACE4" w:tentative="1">
      <w:start w:val="1"/>
      <w:numFmt w:val="lowerLetter"/>
      <w:lvlText w:val="%5."/>
      <w:lvlJc w:val="left"/>
      <w:pPr>
        <w:ind w:left="3600" w:hanging="360"/>
      </w:pPr>
    </w:lvl>
    <w:lvl w:ilvl="5" w:tplc="148A3AF2" w:tentative="1">
      <w:start w:val="1"/>
      <w:numFmt w:val="lowerRoman"/>
      <w:lvlText w:val="%6."/>
      <w:lvlJc w:val="right"/>
      <w:pPr>
        <w:ind w:left="4320" w:hanging="180"/>
      </w:pPr>
    </w:lvl>
    <w:lvl w:ilvl="6" w:tplc="B6C2DAFC" w:tentative="1">
      <w:start w:val="1"/>
      <w:numFmt w:val="decimal"/>
      <w:lvlText w:val="%7."/>
      <w:lvlJc w:val="left"/>
      <w:pPr>
        <w:ind w:left="5040" w:hanging="360"/>
      </w:pPr>
    </w:lvl>
    <w:lvl w:ilvl="7" w:tplc="B78E6C8C" w:tentative="1">
      <w:start w:val="1"/>
      <w:numFmt w:val="lowerLetter"/>
      <w:lvlText w:val="%8."/>
      <w:lvlJc w:val="left"/>
      <w:pPr>
        <w:ind w:left="5760" w:hanging="360"/>
      </w:pPr>
    </w:lvl>
    <w:lvl w:ilvl="8" w:tplc="D706BAF2" w:tentative="1">
      <w:start w:val="1"/>
      <w:numFmt w:val="lowerRoman"/>
      <w:lvlText w:val="%9."/>
      <w:lvlJc w:val="right"/>
      <w:pPr>
        <w:ind w:left="6480" w:hanging="180"/>
      </w:pPr>
    </w:lvl>
  </w:abstractNum>
  <w:abstractNum w:abstractNumId="4">
    <w:nsid w:val="474847F1"/>
    <w:multiLevelType w:val="hybridMultilevel"/>
    <w:tmpl w:val="5816B53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68FA0012"/>
    <w:multiLevelType w:val="singleLevel"/>
    <w:tmpl w:val="041B000F"/>
    <w:lvl w:ilvl="0">
      <w:start w:val="1"/>
      <w:numFmt w:val="decimal"/>
      <w:pStyle w:val="01MJ"/>
      <w:lvlText w:val="%1."/>
      <w:lvlJc w:val="left"/>
      <w:pPr>
        <w:ind w:left="792" w:hanging="432"/>
      </w:pPr>
      <w:rPr>
        <w:rFonts w:hint="default"/>
      </w:rPr>
    </w:lvl>
  </w:abstractNum>
  <w:abstractNum w:abstractNumId="6">
    <w:nsid w:val="69F06916"/>
    <w:multiLevelType w:val="hybridMultilevel"/>
    <w:tmpl w:val="CFC08200"/>
    <w:lvl w:ilvl="0" w:tplc="625CEF2E">
      <w:start w:val="1"/>
      <w:numFmt w:val="upperLetter"/>
      <w:lvlText w:val="%1."/>
      <w:lvlJc w:val="left"/>
      <w:pPr>
        <w:ind w:left="720" w:hanging="360"/>
      </w:pPr>
      <w:rPr>
        <w:rFonts w:hint="default"/>
      </w:rPr>
    </w:lvl>
    <w:lvl w:ilvl="1" w:tplc="47D2DB3A" w:tentative="1">
      <w:start w:val="1"/>
      <w:numFmt w:val="lowerLetter"/>
      <w:lvlText w:val="%2."/>
      <w:lvlJc w:val="left"/>
      <w:pPr>
        <w:ind w:left="1440" w:hanging="360"/>
      </w:pPr>
    </w:lvl>
    <w:lvl w:ilvl="2" w:tplc="DD62AD68" w:tentative="1">
      <w:start w:val="1"/>
      <w:numFmt w:val="lowerRoman"/>
      <w:lvlText w:val="%3."/>
      <w:lvlJc w:val="right"/>
      <w:pPr>
        <w:ind w:left="2160" w:hanging="180"/>
      </w:pPr>
    </w:lvl>
    <w:lvl w:ilvl="3" w:tplc="05DAEB0A" w:tentative="1">
      <w:start w:val="1"/>
      <w:numFmt w:val="decimal"/>
      <w:lvlText w:val="%4."/>
      <w:lvlJc w:val="left"/>
      <w:pPr>
        <w:ind w:left="2880" w:hanging="360"/>
      </w:pPr>
    </w:lvl>
    <w:lvl w:ilvl="4" w:tplc="771E45F8" w:tentative="1">
      <w:start w:val="1"/>
      <w:numFmt w:val="lowerLetter"/>
      <w:lvlText w:val="%5."/>
      <w:lvlJc w:val="left"/>
      <w:pPr>
        <w:ind w:left="3600" w:hanging="360"/>
      </w:pPr>
    </w:lvl>
    <w:lvl w:ilvl="5" w:tplc="C27ED956" w:tentative="1">
      <w:start w:val="1"/>
      <w:numFmt w:val="lowerRoman"/>
      <w:lvlText w:val="%6."/>
      <w:lvlJc w:val="right"/>
      <w:pPr>
        <w:ind w:left="4320" w:hanging="180"/>
      </w:pPr>
    </w:lvl>
    <w:lvl w:ilvl="6" w:tplc="35267C96" w:tentative="1">
      <w:start w:val="1"/>
      <w:numFmt w:val="decimal"/>
      <w:lvlText w:val="%7."/>
      <w:lvlJc w:val="left"/>
      <w:pPr>
        <w:ind w:left="5040" w:hanging="360"/>
      </w:pPr>
    </w:lvl>
    <w:lvl w:ilvl="7" w:tplc="28C0AD94" w:tentative="1">
      <w:start w:val="1"/>
      <w:numFmt w:val="lowerLetter"/>
      <w:lvlText w:val="%8."/>
      <w:lvlJc w:val="left"/>
      <w:pPr>
        <w:ind w:left="5760" w:hanging="360"/>
      </w:pPr>
    </w:lvl>
    <w:lvl w:ilvl="8" w:tplc="92C8A352" w:tentative="1">
      <w:start w:val="1"/>
      <w:numFmt w:val="lowerRoman"/>
      <w:lvlText w:val="%9."/>
      <w:lvlJc w:val="right"/>
      <w:pPr>
        <w:ind w:left="6480" w:hanging="180"/>
      </w:pPr>
    </w:lvl>
  </w:abstractNum>
  <w:abstractNum w:abstractNumId="7">
    <w:nsid w:val="6F4506C6"/>
    <w:multiLevelType w:val="hybridMultilevel"/>
    <w:tmpl w:val="710C4A66"/>
    <w:lvl w:ilvl="0" w:tplc="041B0015">
      <w:start w:val="1"/>
      <w:numFmt w:val="bullet"/>
      <w:lvlText w:val="-"/>
      <w:lvlJc w:val="left"/>
      <w:pPr>
        <w:ind w:left="720" w:hanging="360"/>
      </w:pPr>
      <w:rPr>
        <w:rFonts w:ascii="Calibri" w:eastAsiaTheme="minorHAnsi" w:hAnsi="Calibri" w:cstheme="minorBidi"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0"/>
  </w:num>
  <w:num w:numId="5">
    <w:abstractNumId w:val="2"/>
  </w:num>
  <w:num w:numId="6">
    <w:abstractNumId w:val="5"/>
  </w:num>
  <w:num w:numId="7">
    <w:abstractNumId w:val="1"/>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1"/>
    <w:footnote w:id="0"/>
  </w:footnotePr>
  <w:endnotePr>
    <w:endnote w:id="-1"/>
    <w:endnote w:id="0"/>
  </w:endnotePr>
  <w:compat/>
  <w:rsids>
    <w:rsidRoot w:val="0045670B"/>
    <w:rsid w:val="00030840"/>
    <w:rsid w:val="000B24F8"/>
    <w:rsid w:val="000B3854"/>
    <w:rsid w:val="000B76AC"/>
    <w:rsid w:val="000C1821"/>
    <w:rsid w:val="000E205A"/>
    <w:rsid w:val="00102FCB"/>
    <w:rsid w:val="0013005B"/>
    <w:rsid w:val="00181507"/>
    <w:rsid w:val="001842F8"/>
    <w:rsid w:val="001A3652"/>
    <w:rsid w:val="001B6F50"/>
    <w:rsid w:val="001C1DF8"/>
    <w:rsid w:val="001D60C3"/>
    <w:rsid w:val="002066BE"/>
    <w:rsid w:val="00223014"/>
    <w:rsid w:val="002345C1"/>
    <w:rsid w:val="002425D9"/>
    <w:rsid w:val="00267F3E"/>
    <w:rsid w:val="002A4A2D"/>
    <w:rsid w:val="002D4DB9"/>
    <w:rsid w:val="002F708C"/>
    <w:rsid w:val="00301847"/>
    <w:rsid w:val="00307859"/>
    <w:rsid w:val="0031500D"/>
    <w:rsid w:val="0032277A"/>
    <w:rsid w:val="00334FFB"/>
    <w:rsid w:val="00340904"/>
    <w:rsid w:val="00345DBD"/>
    <w:rsid w:val="003A2473"/>
    <w:rsid w:val="003A73D6"/>
    <w:rsid w:val="003B6978"/>
    <w:rsid w:val="003B778A"/>
    <w:rsid w:val="003D04B9"/>
    <w:rsid w:val="003D1555"/>
    <w:rsid w:val="003D3B3C"/>
    <w:rsid w:val="003F275B"/>
    <w:rsid w:val="003F4D7A"/>
    <w:rsid w:val="00432BBB"/>
    <w:rsid w:val="004348EA"/>
    <w:rsid w:val="004407A2"/>
    <w:rsid w:val="0045670B"/>
    <w:rsid w:val="004835D4"/>
    <w:rsid w:val="004861D2"/>
    <w:rsid w:val="004935FF"/>
    <w:rsid w:val="004B6B3D"/>
    <w:rsid w:val="004D252F"/>
    <w:rsid w:val="00501B1F"/>
    <w:rsid w:val="005425EB"/>
    <w:rsid w:val="00547D43"/>
    <w:rsid w:val="00562B9B"/>
    <w:rsid w:val="00566F6D"/>
    <w:rsid w:val="005723B0"/>
    <w:rsid w:val="005852FD"/>
    <w:rsid w:val="005A6065"/>
    <w:rsid w:val="005A7F80"/>
    <w:rsid w:val="005F732A"/>
    <w:rsid w:val="0060274E"/>
    <w:rsid w:val="006538C9"/>
    <w:rsid w:val="0065533D"/>
    <w:rsid w:val="0065630B"/>
    <w:rsid w:val="0067622F"/>
    <w:rsid w:val="0068143E"/>
    <w:rsid w:val="00691AF3"/>
    <w:rsid w:val="006A1B08"/>
    <w:rsid w:val="006A5B05"/>
    <w:rsid w:val="0070447C"/>
    <w:rsid w:val="00731C2A"/>
    <w:rsid w:val="007332A0"/>
    <w:rsid w:val="00735D3A"/>
    <w:rsid w:val="00747490"/>
    <w:rsid w:val="00780297"/>
    <w:rsid w:val="00783FBD"/>
    <w:rsid w:val="00785EDD"/>
    <w:rsid w:val="007A2AF2"/>
    <w:rsid w:val="007A54D2"/>
    <w:rsid w:val="007B7EAB"/>
    <w:rsid w:val="007C7A98"/>
    <w:rsid w:val="00853408"/>
    <w:rsid w:val="00884F41"/>
    <w:rsid w:val="00885696"/>
    <w:rsid w:val="008A6A86"/>
    <w:rsid w:val="008D19E3"/>
    <w:rsid w:val="008F4A6F"/>
    <w:rsid w:val="00934100"/>
    <w:rsid w:val="00954909"/>
    <w:rsid w:val="0096292B"/>
    <w:rsid w:val="00977585"/>
    <w:rsid w:val="00983680"/>
    <w:rsid w:val="009D79AF"/>
    <w:rsid w:val="009E48FE"/>
    <w:rsid w:val="009E690D"/>
    <w:rsid w:val="009F38B0"/>
    <w:rsid w:val="009F6A4A"/>
    <w:rsid w:val="00A10CEE"/>
    <w:rsid w:val="00A159B4"/>
    <w:rsid w:val="00A47EA9"/>
    <w:rsid w:val="00A6392E"/>
    <w:rsid w:val="00A759DB"/>
    <w:rsid w:val="00A921B2"/>
    <w:rsid w:val="00A97D9C"/>
    <w:rsid w:val="00AA622D"/>
    <w:rsid w:val="00AE3208"/>
    <w:rsid w:val="00B412DC"/>
    <w:rsid w:val="00B46C08"/>
    <w:rsid w:val="00B54188"/>
    <w:rsid w:val="00B66C16"/>
    <w:rsid w:val="00B9547D"/>
    <w:rsid w:val="00BA5A61"/>
    <w:rsid w:val="00BC1200"/>
    <w:rsid w:val="00BE796A"/>
    <w:rsid w:val="00C06C29"/>
    <w:rsid w:val="00C20D6C"/>
    <w:rsid w:val="00C44EFE"/>
    <w:rsid w:val="00C45D8A"/>
    <w:rsid w:val="00C4633C"/>
    <w:rsid w:val="00C72FCB"/>
    <w:rsid w:val="00C87F81"/>
    <w:rsid w:val="00C9098F"/>
    <w:rsid w:val="00C91DBA"/>
    <w:rsid w:val="00C971D1"/>
    <w:rsid w:val="00CA03C1"/>
    <w:rsid w:val="00CA3229"/>
    <w:rsid w:val="00CA376E"/>
    <w:rsid w:val="00CA6BD0"/>
    <w:rsid w:val="00CC150C"/>
    <w:rsid w:val="00CD194C"/>
    <w:rsid w:val="00CF4C00"/>
    <w:rsid w:val="00D05BDC"/>
    <w:rsid w:val="00D12BD7"/>
    <w:rsid w:val="00D13D75"/>
    <w:rsid w:val="00D3264B"/>
    <w:rsid w:val="00D32779"/>
    <w:rsid w:val="00D63553"/>
    <w:rsid w:val="00D832E7"/>
    <w:rsid w:val="00DA09EC"/>
    <w:rsid w:val="00DA10D4"/>
    <w:rsid w:val="00DB7286"/>
    <w:rsid w:val="00DE4684"/>
    <w:rsid w:val="00DE53E1"/>
    <w:rsid w:val="00DF0DAF"/>
    <w:rsid w:val="00DF5C7E"/>
    <w:rsid w:val="00E10EE1"/>
    <w:rsid w:val="00E438EE"/>
    <w:rsid w:val="00E532AD"/>
    <w:rsid w:val="00E66E99"/>
    <w:rsid w:val="00E674C9"/>
    <w:rsid w:val="00E70E7D"/>
    <w:rsid w:val="00E835BD"/>
    <w:rsid w:val="00E90E24"/>
    <w:rsid w:val="00EA0D40"/>
    <w:rsid w:val="00EC2CEB"/>
    <w:rsid w:val="00ED2D68"/>
    <w:rsid w:val="00ED2F93"/>
    <w:rsid w:val="00ED7E25"/>
    <w:rsid w:val="00EE52D6"/>
    <w:rsid w:val="00EF795E"/>
    <w:rsid w:val="00F34FF4"/>
    <w:rsid w:val="00F3511E"/>
    <w:rsid w:val="00F63A17"/>
    <w:rsid w:val="00F64B70"/>
    <w:rsid w:val="00F7174C"/>
    <w:rsid w:val="00F73658"/>
    <w:rsid w:val="00FA15E1"/>
    <w:rsid w:val="00FC5AA2"/>
    <w:rsid w:val="00FC6024"/>
    <w:rsid w:val="00FF18F7"/>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B6B3D"/>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45670B"/>
    <w:pPr>
      <w:ind w:left="720"/>
      <w:contextualSpacing/>
    </w:pPr>
  </w:style>
  <w:style w:type="table" w:styleId="Mriekatabuky">
    <w:name w:val="Table Grid"/>
    <w:basedOn w:val="Normlnatabuka"/>
    <w:uiPriority w:val="39"/>
    <w:rsid w:val="00CD19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3A2473"/>
    <w:rPr>
      <w:color w:val="808080"/>
    </w:rPr>
  </w:style>
  <w:style w:type="paragraph" w:styleId="Hlavika">
    <w:name w:val="header"/>
    <w:basedOn w:val="Normlny"/>
    <w:link w:val="HlavikaChar"/>
    <w:uiPriority w:val="99"/>
    <w:semiHidden/>
    <w:unhideWhenUsed/>
    <w:rsid w:val="005F732A"/>
    <w:pPr>
      <w:tabs>
        <w:tab w:val="center" w:pos="4536"/>
        <w:tab w:val="right" w:pos="9072"/>
      </w:tabs>
      <w:spacing w:after="0" w:line="240" w:lineRule="auto"/>
    </w:pPr>
  </w:style>
  <w:style w:type="character" w:customStyle="1" w:styleId="HlavikaChar">
    <w:name w:val="Hlavička Char"/>
    <w:basedOn w:val="Predvolenpsmoodseku"/>
    <w:link w:val="Hlavika"/>
    <w:uiPriority w:val="99"/>
    <w:semiHidden/>
    <w:rsid w:val="005F732A"/>
  </w:style>
  <w:style w:type="paragraph" w:styleId="Pta">
    <w:name w:val="footer"/>
    <w:basedOn w:val="Normlny"/>
    <w:link w:val="PtaChar"/>
    <w:uiPriority w:val="99"/>
    <w:unhideWhenUsed/>
    <w:rsid w:val="005F732A"/>
    <w:pPr>
      <w:tabs>
        <w:tab w:val="center" w:pos="4536"/>
        <w:tab w:val="right" w:pos="9072"/>
      </w:tabs>
      <w:spacing w:after="0" w:line="240" w:lineRule="auto"/>
    </w:pPr>
  </w:style>
  <w:style w:type="character" w:customStyle="1" w:styleId="PtaChar">
    <w:name w:val="Päta Char"/>
    <w:basedOn w:val="Predvolenpsmoodseku"/>
    <w:link w:val="Pta"/>
    <w:uiPriority w:val="99"/>
    <w:rsid w:val="005F732A"/>
  </w:style>
  <w:style w:type="character" w:styleId="sloriadka">
    <w:name w:val="line number"/>
    <w:basedOn w:val="Predvolenpsmoodseku"/>
    <w:uiPriority w:val="99"/>
    <w:semiHidden/>
    <w:unhideWhenUsed/>
    <w:rsid w:val="005F732A"/>
  </w:style>
  <w:style w:type="paragraph" w:customStyle="1" w:styleId="05MJText">
    <w:name w:val="05 MJ Text"/>
    <w:basedOn w:val="Bezriadkovania"/>
    <w:link w:val="05MJTextChar"/>
    <w:qFormat/>
    <w:rsid w:val="00C45D8A"/>
    <w:pPr>
      <w:spacing w:line="276" w:lineRule="auto"/>
      <w:ind w:firstLine="426"/>
      <w:jc w:val="both"/>
    </w:pPr>
  </w:style>
  <w:style w:type="character" w:customStyle="1" w:styleId="05MJTextChar">
    <w:name w:val="05 MJ Text Char"/>
    <w:basedOn w:val="Predvolenpsmoodseku"/>
    <w:link w:val="05MJText"/>
    <w:rsid w:val="00C45D8A"/>
  </w:style>
  <w:style w:type="paragraph" w:styleId="Bezriadkovania">
    <w:name w:val="No Spacing"/>
    <w:uiPriority w:val="1"/>
    <w:qFormat/>
    <w:rsid w:val="00C45D8A"/>
    <w:pPr>
      <w:spacing w:after="0" w:line="240" w:lineRule="auto"/>
    </w:pPr>
  </w:style>
  <w:style w:type="paragraph" w:customStyle="1" w:styleId="02MJ">
    <w:name w:val="02 MJ"/>
    <w:basedOn w:val="Bezriadkovania"/>
    <w:link w:val="02MJChar"/>
    <w:qFormat/>
    <w:rsid w:val="00566F6D"/>
    <w:pPr>
      <w:spacing w:line="480" w:lineRule="auto"/>
      <w:outlineLvl w:val="1"/>
    </w:pPr>
    <w:rPr>
      <w:b/>
      <w:caps/>
      <w:sz w:val="24"/>
    </w:rPr>
  </w:style>
  <w:style w:type="character" w:customStyle="1" w:styleId="02MJChar">
    <w:name w:val="02 MJ Char"/>
    <w:basedOn w:val="Predvolenpsmoodseku"/>
    <w:link w:val="02MJ"/>
    <w:rsid w:val="00566F6D"/>
    <w:rPr>
      <w:b/>
      <w:caps/>
      <w:sz w:val="24"/>
    </w:rPr>
  </w:style>
  <w:style w:type="paragraph" w:customStyle="1" w:styleId="03MJ">
    <w:name w:val="03 MJ"/>
    <w:basedOn w:val="05MJText"/>
    <w:link w:val="03MJChar"/>
    <w:qFormat/>
    <w:rsid w:val="00566F6D"/>
    <w:pPr>
      <w:spacing w:line="360" w:lineRule="auto"/>
      <w:ind w:left="709" w:hanging="425"/>
      <w:jc w:val="left"/>
      <w:outlineLvl w:val="2"/>
    </w:pPr>
    <w:rPr>
      <w:b/>
    </w:rPr>
  </w:style>
  <w:style w:type="character" w:customStyle="1" w:styleId="03MJChar">
    <w:name w:val="03 MJ Char"/>
    <w:basedOn w:val="05MJTextChar"/>
    <w:link w:val="03MJ"/>
    <w:rsid w:val="00566F6D"/>
    <w:rPr>
      <w:b/>
    </w:rPr>
  </w:style>
  <w:style w:type="paragraph" w:customStyle="1" w:styleId="01MJ">
    <w:name w:val="01 MJ"/>
    <w:basedOn w:val="02MJ"/>
    <w:qFormat/>
    <w:rsid w:val="00566F6D"/>
    <w:pPr>
      <w:pageBreakBefore/>
      <w:numPr>
        <w:numId w:val="6"/>
      </w:numPr>
      <w:tabs>
        <w:tab w:val="num" w:pos="360"/>
      </w:tabs>
    </w:pPr>
    <w:rPr>
      <w:sz w:val="28"/>
    </w:rPr>
  </w:style>
  <w:style w:type="numbering" w:customStyle="1" w:styleId="A2345">
    <w:name w:val="A2345"/>
    <w:uiPriority w:val="99"/>
    <w:rsid w:val="00566F6D"/>
    <w:pPr>
      <w:numPr>
        <w:numId w:val="5"/>
      </w:numPr>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C2A20-4AB9-4378-A4B3-DFA267E1D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1009</Words>
  <Characters>5755</Characters>
  <Application>Microsoft Office Word</Application>
  <DocSecurity>0</DocSecurity>
  <Lines>47</Lines>
  <Paragraphs>13</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6751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Ladislav</dc:creator>
  <cp:lastModifiedBy>Acer</cp:lastModifiedBy>
  <cp:revision>2</cp:revision>
  <dcterms:created xsi:type="dcterms:W3CDTF">2023-11-22T10:16:00Z</dcterms:created>
  <dcterms:modified xsi:type="dcterms:W3CDTF">2023-11-22T10:16:00Z</dcterms:modified>
</cp:coreProperties>
</file>