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022F" w14:textId="0C297F20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E25CAC" w:rsidRPr="008D22F3">
        <w:rPr>
          <w:rFonts w:ascii="Cambria" w:hAnsi="Cambria"/>
          <w:b/>
          <w:bCs/>
          <w:i/>
          <w:iCs/>
          <w:sz w:val="20"/>
          <w:szCs w:val="20"/>
        </w:rPr>
        <w:t>C-NBS1-000-099-962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00C803C6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00C803C6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78D330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</w:p>
        </w:tc>
      </w:tr>
      <w:tr w:rsidR="0036724D" w:rsidRPr="00960E05" w14:paraId="5EC4E5D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1D93F3F3" w:rsidR="007419DF" w:rsidRPr="00DD7135" w:rsidRDefault="008C078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poskytovate</w:t>
            </w:r>
            <w:r w:rsidR="00F611A8" w:rsidRPr="00DD7135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36724D" w:rsidRPr="00960E05" w14:paraId="04C7E2B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00C803C6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0380650E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BE1F1B" w:rsidRPr="00960E05">
              <w:rPr>
                <w:rFonts w:ascii="Cambria" w:hAnsi="Cambria" w:cs="Arial"/>
                <w:sz w:val="20"/>
              </w:rPr>
              <w:t>ASDR, ktorý je dodaný poskytovateľom Národnej banke Slovenska (ďalej len „dodaný informačný systém)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00C803C6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00C803C6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0643758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00C803C6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00C803C6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904D840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00C803C6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2D101A35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prijatie písomne odsúhlasenej (akceptovanej)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  <w:r w:rsidRPr="00960E05">
              <w:rPr>
                <w:rFonts w:ascii="Cambria" w:hAnsi="Cambria" w:cs="Arial"/>
                <w:sz w:val="20"/>
              </w:rPr>
              <w:t xml:space="preserve">. Predmetný protokol je uvedený ako štandard v Prílohe </w:t>
            </w:r>
            <w:r w:rsidR="00A83593" w:rsidRPr="00960E05">
              <w:rPr>
                <w:rFonts w:ascii="Cambria" w:hAnsi="Cambria" w:cs="Arial"/>
                <w:sz w:val="20"/>
              </w:rPr>
              <w:t>4</w:t>
            </w:r>
            <w:r w:rsidRPr="00960E05">
              <w:rPr>
                <w:rFonts w:ascii="Cambria" w:hAnsi="Cambria" w:cs="Arial"/>
                <w:sz w:val="20"/>
              </w:rPr>
              <w:t xml:space="preserve"> tejto zmluvy..</w:t>
            </w:r>
          </w:p>
        </w:tc>
      </w:tr>
      <w:tr w:rsidR="0036724D" w:rsidRPr="00960E05" w14:paraId="5AA2A82C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29EC830A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  <w:r w:rsidRPr="00960E05">
              <w:rPr>
                <w:rFonts w:ascii="Cambria" w:hAnsi="Cambria" w:cs="Arial"/>
                <w:sz w:val="20"/>
              </w:rPr>
              <w:t>Predmetný protokol bude uvedený ako štandard v tejto zmluve.</w:t>
            </w:r>
          </w:p>
          <w:p w14:paraId="6A9E6C03" w14:textId="52EFBAE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00C803C6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00C803C6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00C803C6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00C803C6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00C803C6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00C803C6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37C57252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1064D70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riadiaci orgán projektu predstavujú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 objednávateľa nedokážu zaujať spoločné stanovisko k prerokovávanej vecnej oblasti projektu alebo vedúci projektu objednávateľa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>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00C803C6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00C803C6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00C803C6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3E7C3BC4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>dohodnú spoločne zástupcovia Objednávateľa a Poskytovateľa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</w:tcPr>
          <w:p w14:paraId="0937BC84" w14:textId="2EEA34C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4012BC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ľ.</w:t>
            </w:r>
          </w:p>
        </w:tc>
      </w:tr>
      <w:tr w:rsidR="0036724D" w:rsidRPr="00960E05" w14:paraId="7BA1C41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1EA7" w14:textId="77777777" w:rsidR="00143595" w:rsidRDefault="00143595">
      <w:r>
        <w:separator/>
      </w:r>
    </w:p>
  </w:endnote>
  <w:endnote w:type="continuationSeparator" w:id="0">
    <w:p w14:paraId="640F836F" w14:textId="77777777" w:rsidR="00143595" w:rsidRDefault="0014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4713" w14:textId="77777777" w:rsidR="00143595" w:rsidRDefault="00143595">
      <w:r>
        <w:separator/>
      </w:r>
    </w:p>
  </w:footnote>
  <w:footnote w:type="continuationSeparator" w:id="0">
    <w:p w14:paraId="69AA8929" w14:textId="77777777" w:rsidR="00143595" w:rsidRDefault="00143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5"/>
  </w:num>
  <w:num w:numId="6" w16cid:durableId="2058120539">
    <w:abstractNumId w:val="4"/>
  </w:num>
  <w:num w:numId="7" w16cid:durableId="178842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33123"/>
    <w:rsid w:val="00143595"/>
    <w:rsid w:val="0014543F"/>
    <w:rsid w:val="0014590E"/>
    <w:rsid w:val="001564AC"/>
    <w:rsid w:val="0017713C"/>
    <w:rsid w:val="001904B6"/>
    <w:rsid w:val="001A7BBC"/>
    <w:rsid w:val="001C3CD8"/>
    <w:rsid w:val="001E0DB7"/>
    <w:rsid w:val="002073B2"/>
    <w:rsid w:val="0023711E"/>
    <w:rsid w:val="00254B6D"/>
    <w:rsid w:val="002932AA"/>
    <w:rsid w:val="002A0F88"/>
    <w:rsid w:val="002C6A44"/>
    <w:rsid w:val="002F5DD1"/>
    <w:rsid w:val="00311B63"/>
    <w:rsid w:val="003174A0"/>
    <w:rsid w:val="00323499"/>
    <w:rsid w:val="00360346"/>
    <w:rsid w:val="0036724D"/>
    <w:rsid w:val="003852CA"/>
    <w:rsid w:val="00393188"/>
    <w:rsid w:val="003A7929"/>
    <w:rsid w:val="003B39B3"/>
    <w:rsid w:val="003C40EE"/>
    <w:rsid w:val="003C7430"/>
    <w:rsid w:val="003D561A"/>
    <w:rsid w:val="003D7F64"/>
    <w:rsid w:val="003E5696"/>
    <w:rsid w:val="004012BC"/>
    <w:rsid w:val="00424B37"/>
    <w:rsid w:val="00430F32"/>
    <w:rsid w:val="0044235D"/>
    <w:rsid w:val="00453F40"/>
    <w:rsid w:val="00456172"/>
    <w:rsid w:val="00473167"/>
    <w:rsid w:val="00482F38"/>
    <w:rsid w:val="00483ECC"/>
    <w:rsid w:val="0048717D"/>
    <w:rsid w:val="00496D8F"/>
    <w:rsid w:val="004D2154"/>
    <w:rsid w:val="004D32ED"/>
    <w:rsid w:val="004F2510"/>
    <w:rsid w:val="00501FA9"/>
    <w:rsid w:val="00510817"/>
    <w:rsid w:val="005118F1"/>
    <w:rsid w:val="00517B20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4ED6"/>
    <w:rsid w:val="005A066C"/>
    <w:rsid w:val="005B3B32"/>
    <w:rsid w:val="005B627A"/>
    <w:rsid w:val="005C336F"/>
    <w:rsid w:val="005C41A2"/>
    <w:rsid w:val="005E68CA"/>
    <w:rsid w:val="00605A80"/>
    <w:rsid w:val="006161B5"/>
    <w:rsid w:val="006164F1"/>
    <w:rsid w:val="0062148A"/>
    <w:rsid w:val="006253F8"/>
    <w:rsid w:val="006315C5"/>
    <w:rsid w:val="00637FF3"/>
    <w:rsid w:val="00647B53"/>
    <w:rsid w:val="006531DD"/>
    <w:rsid w:val="00653594"/>
    <w:rsid w:val="00665D69"/>
    <w:rsid w:val="00675F3B"/>
    <w:rsid w:val="00685EF8"/>
    <w:rsid w:val="00695D6D"/>
    <w:rsid w:val="006A7274"/>
    <w:rsid w:val="006E02BD"/>
    <w:rsid w:val="006E54B0"/>
    <w:rsid w:val="00701191"/>
    <w:rsid w:val="00702AB7"/>
    <w:rsid w:val="00723448"/>
    <w:rsid w:val="00727833"/>
    <w:rsid w:val="00737720"/>
    <w:rsid w:val="007419DF"/>
    <w:rsid w:val="00762237"/>
    <w:rsid w:val="00762313"/>
    <w:rsid w:val="0079261A"/>
    <w:rsid w:val="007B6BC7"/>
    <w:rsid w:val="008039A6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A401D"/>
    <w:rsid w:val="008A40FE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B567A"/>
    <w:rsid w:val="00AB7DF6"/>
    <w:rsid w:val="00AB7FEC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81146"/>
    <w:rsid w:val="00B84D2F"/>
    <w:rsid w:val="00B8708B"/>
    <w:rsid w:val="00BA7A6A"/>
    <w:rsid w:val="00BB246F"/>
    <w:rsid w:val="00BD44D1"/>
    <w:rsid w:val="00BE1F1B"/>
    <w:rsid w:val="00C150DE"/>
    <w:rsid w:val="00C428B9"/>
    <w:rsid w:val="00C453AB"/>
    <w:rsid w:val="00C67819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314E"/>
    <w:rsid w:val="00D4655D"/>
    <w:rsid w:val="00D47DCB"/>
    <w:rsid w:val="00D95016"/>
    <w:rsid w:val="00D9519D"/>
    <w:rsid w:val="00DA0F20"/>
    <w:rsid w:val="00DA4131"/>
    <w:rsid w:val="00DC573F"/>
    <w:rsid w:val="00DD7135"/>
    <w:rsid w:val="00DE440C"/>
    <w:rsid w:val="00DF1DB0"/>
    <w:rsid w:val="00E02E3F"/>
    <w:rsid w:val="00E07BED"/>
    <w:rsid w:val="00E169BF"/>
    <w:rsid w:val="00E16F58"/>
    <w:rsid w:val="00E178C6"/>
    <w:rsid w:val="00E21614"/>
    <w:rsid w:val="00E25CAC"/>
    <w:rsid w:val="00E36EAD"/>
    <w:rsid w:val="00E522DC"/>
    <w:rsid w:val="00E66F41"/>
    <w:rsid w:val="00E673F1"/>
    <w:rsid w:val="00E80A36"/>
    <w:rsid w:val="00EA67D0"/>
    <w:rsid w:val="00EA71DE"/>
    <w:rsid w:val="00EB4A1B"/>
    <w:rsid w:val="00EB4E9D"/>
    <w:rsid w:val="00ED0AF8"/>
    <w:rsid w:val="00ED1FD1"/>
    <w:rsid w:val="00EE77DE"/>
    <w:rsid w:val="00EF4817"/>
    <w:rsid w:val="00EF4A37"/>
    <w:rsid w:val="00F07FF9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A1B1E"/>
    <w:rsid w:val="00FA4579"/>
    <w:rsid w:val="00FA76BA"/>
    <w:rsid w:val="00FC12C2"/>
    <w:rsid w:val="00FE4A3D"/>
    <w:rsid w:val="00FF33B2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88508DF9-1BCB-48E0-B542-183BB1F1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99f8a6-8e5f-47dd-bf2b-d247d833a966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1E3D0-C66C-4360-A4EC-F81DED262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4A66B-054C-4CBF-9E03-A439452E77B6}">
  <ds:schemaRefs>
    <ds:schemaRef ds:uri="http://schemas.microsoft.com/office/2006/metadata/properties"/>
    <ds:schemaRef ds:uri="http://schemas.microsoft.com/office/infopath/2007/PartnerControls"/>
    <ds:schemaRef ds:uri="da99f8a6-8e5f-47dd-bf2b-d247d833a966"/>
  </ds:schemaRefs>
</ds:datastoreItem>
</file>

<file path=customXml/itemProps4.xml><?xml version="1.0" encoding="utf-8"?>
<ds:datastoreItem xmlns:ds="http://schemas.openxmlformats.org/officeDocument/2006/customXml" ds:itemID="{30EBB914-D21C-4B7F-B674-D741FD8A3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13691</Characters>
  <Application>Microsoft Office Word</Application>
  <DocSecurity>4</DocSecurity>
  <Lines>114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home</Company>
  <LinksUpToDate>false</LinksUpToDate>
  <CharactersWithSpaces>15545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Zubeková Anna</cp:lastModifiedBy>
  <cp:revision>2</cp:revision>
  <cp:lastPrinted>2014-04-10T09:46:00Z</cp:lastPrinted>
  <dcterms:created xsi:type="dcterms:W3CDTF">2024-08-05T09:34:00Z</dcterms:created>
  <dcterms:modified xsi:type="dcterms:W3CDTF">2024-08-05T09:34:00Z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0x0101003B2915E3A63EF04DA9ECBD8835D2DF0F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