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772BFB">
        <w:rPr>
          <w:rFonts w:ascii="Arial" w:hAnsi="Arial" w:cs="Arial"/>
          <w:sz w:val="20"/>
          <w:szCs w:val="20"/>
          <w:highlight w:val="yellow"/>
        </w:rPr>
        <w:t>rganizačná zložka: Šariš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2BFB">
        <w:rPr>
          <w:rFonts w:ascii="Arial" w:hAnsi="Arial" w:cs="Arial"/>
          <w:sz w:val="20"/>
          <w:szCs w:val="20"/>
        </w:rPr>
        <w:t>Obrancov mieru č.6, 080 01 Prešov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772BFB">
        <w:rPr>
          <w:rFonts w:ascii="Arial" w:hAnsi="Arial" w:cs="Arial"/>
          <w:sz w:val="20"/>
          <w:szCs w:val="20"/>
        </w:rPr>
        <w:t>Šariš, Ing. Jozef Krochta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772BFB">
        <w:rPr>
          <w:rFonts w:ascii="Arial" w:hAnsi="Arial" w:cs="Arial"/>
          <w:b/>
          <w:sz w:val="20"/>
          <w:szCs w:val="20"/>
        </w:rPr>
        <w:t>vou pre OZ  Šariš</w:t>
      </w:r>
      <w:r w:rsidR="005F0F5B">
        <w:rPr>
          <w:rFonts w:ascii="Arial" w:hAnsi="Arial" w:cs="Arial"/>
          <w:b/>
          <w:sz w:val="20"/>
          <w:szCs w:val="20"/>
        </w:rPr>
        <w:t xml:space="preserve"> -  výzva  č. 01/205</w:t>
      </w:r>
      <w:r w:rsidR="001356DC">
        <w:rPr>
          <w:rFonts w:ascii="Arial" w:hAnsi="Arial" w:cs="Arial"/>
          <w:b/>
          <w:sz w:val="20"/>
          <w:szCs w:val="20"/>
        </w:rPr>
        <w:t xml:space="preserve"> -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772BFB">
        <w:rPr>
          <w:rFonts w:ascii="Arial" w:hAnsi="Arial" w:cs="Arial"/>
          <w:b/>
          <w:sz w:val="20"/>
          <w:szCs w:val="20"/>
        </w:rPr>
        <w:t>amenná soľ kusová pre zver  - 2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ton</w:t>
      </w:r>
      <w:r w:rsidR="00772BFB">
        <w:rPr>
          <w:rFonts w:ascii="Arial" w:hAnsi="Arial" w:cs="Arial"/>
          <w:b/>
          <w:sz w:val="20"/>
          <w:szCs w:val="20"/>
        </w:rPr>
        <w:t>y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</w:t>
      </w:r>
      <w:r w:rsidR="00772BFB">
        <w:rPr>
          <w:rFonts w:ascii="Arial" w:hAnsi="Arial" w:cs="Arial"/>
          <w:sz w:val="20"/>
          <w:szCs w:val="20"/>
        </w:rPr>
        <w:t>a krmív s dopravou pre OZ  Šariš</w:t>
      </w:r>
      <w:r w:rsidR="00186CA9" w:rsidRPr="00186CA9">
        <w:rPr>
          <w:rFonts w:ascii="Arial" w:hAnsi="Arial" w:cs="Arial"/>
          <w:sz w:val="20"/>
          <w:szCs w:val="20"/>
        </w:rPr>
        <w:t xml:space="preserve"> -  v</w:t>
      </w:r>
      <w:r w:rsidR="001356DC">
        <w:rPr>
          <w:rFonts w:ascii="Arial" w:hAnsi="Arial" w:cs="Arial"/>
          <w:sz w:val="20"/>
          <w:szCs w:val="20"/>
        </w:rPr>
        <w:t>ýzva  č. 01/2024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772BFB">
        <w:rPr>
          <w:rFonts w:ascii="Arial" w:hAnsi="Arial" w:cs="Arial"/>
          <w:b/>
          <w:sz w:val="20"/>
          <w:szCs w:val="20"/>
        </w:rPr>
        <w:t>Organizačná zložka OZ Šariš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772BFB">
        <w:rPr>
          <w:rFonts w:ascii="Arial" w:hAnsi="Arial" w:cs="Arial"/>
          <w:b/>
          <w:sz w:val="20"/>
          <w:szCs w:val="20"/>
        </w:rPr>
        <w:t>–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</w:t>
      </w:r>
      <w:r w:rsidR="005F0F5B">
        <w:rPr>
          <w:rFonts w:ascii="Arial" w:hAnsi="Arial" w:cs="Arial"/>
          <w:b/>
          <w:sz w:val="20"/>
          <w:szCs w:val="20"/>
        </w:rPr>
        <w:t>Kokošovce 120, 080 05 Prešov.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772BF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F0F5B">
        <w:rPr>
          <w:rFonts w:ascii="Arial" w:hAnsi="Arial" w:cs="Arial"/>
          <w:b/>
          <w:bCs/>
          <w:sz w:val="20"/>
          <w:szCs w:val="20"/>
        </w:rPr>
        <w:t>V Prešove</w:t>
      </w:r>
      <w:bookmarkStart w:id="0" w:name="_GoBack"/>
      <w:bookmarkEnd w:id="0"/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772BFB">
        <w:rPr>
          <w:rFonts w:ascii="Arial" w:hAnsi="Arial" w:cs="Arial"/>
          <w:sz w:val="20"/>
          <w:szCs w:val="20"/>
        </w:rPr>
        <w:t>Ing. Jozef Krochta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772BFB">
        <w:rPr>
          <w:rFonts w:ascii="Arial" w:hAnsi="Arial" w:cs="Arial"/>
          <w:sz w:val="20"/>
          <w:szCs w:val="20"/>
        </w:rPr>
        <w:t>riaditeľ OZ Šariš</w:t>
      </w:r>
      <w:r w:rsidR="00A76DE6" w:rsidRPr="00A76DE6">
        <w:rPr>
          <w:rFonts w:ascii="Arial" w:hAnsi="Arial" w:cs="Arial"/>
          <w:sz w:val="20"/>
          <w:szCs w:val="20"/>
        </w:rPr>
        <w:t xml:space="preserve">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D4" w:rsidRDefault="002904D4" w:rsidP="00B86821">
      <w:pPr>
        <w:spacing w:after="0" w:line="240" w:lineRule="auto"/>
      </w:pPr>
      <w:r>
        <w:separator/>
      </w:r>
    </w:p>
  </w:endnote>
  <w:endnote w:type="continuationSeparator" w:id="0">
    <w:p w:rsidR="002904D4" w:rsidRDefault="002904D4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5B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D4" w:rsidRDefault="002904D4" w:rsidP="00B86821">
      <w:pPr>
        <w:spacing w:after="0" w:line="240" w:lineRule="auto"/>
      </w:pPr>
      <w:r>
        <w:separator/>
      </w:r>
    </w:p>
  </w:footnote>
  <w:footnote w:type="continuationSeparator" w:id="0">
    <w:p w:rsidR="002904D4" w:rsidRDefault="002904D4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904D4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0F5B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72BFB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57EC9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76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C94A-F0EC-4A72-926D-B45738B8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11</cp:revision>
  <cp:lastPrinted>2022-08-22T08:37:00Z</cp:lastPrinted>
  <dcterms:created xsi:type="dcterms:W3CDTF">2023-09-22T08:41:00Z</dcterms:created>
  <dcterms:modified xsi:type="dcterms:W3CDTF">2025-01-29T16:52:00Z</dcterms:modified>
</cp:coreProperties>
</file>