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E3455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891D77">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77777777"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F60982" w:rsidRPr="00325C99">
        <w:rPr>
          <w:rFonts w:ascii="Arial" w:eastAsia="Arial Unicode MS" w:hAnsi="Arial" w:cs="Arial"/>
          <w:sz w:val="20"/>
          <w:szCs w:val="20"/>
        </w:rPr>
        <w:t xml:space="preserve">garážovej haly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4069</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1667/10</w:t>
      </w:r>
      <w:r w:rsidR="00F60982" w:rsidRPr="00325C99">
        <w:rPr>
          <w:rFonts w:ascii="Arial" w:eastAsia="Arial Unicode MS" w:hAnsi="Arial" w:cs="Arial"/>
          <w:sz w:val="20"/>
          <w:szCs w:val="20"/>
        </w:rPr>
        <w:t>, o výmere 2645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520BCAD3" w:rsidR="00F60982" w:rsidRDefault="00F60982" w:rsidP="00F60982">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bookmarkStart w:id="0" w:name="_Hlk172476215"/>
      <w:r w:rsidRPr="00325C99">
        <w:rPr>
          <w:rFonts w:eastAsia="Arial Unicode MS"/>
          <w:b/>
          <w:bCs/>
          <w:color w:val="auto"/>
          <w:sz w:val="20"/>
        </w:rPr>
        <w:t xml:space="preserve">garážového bloku č. </w:t>
      </w:r>
      <w:r w:rsidR="00891D77">
        <w:rPr>
          <w:rFonts w:eastAsia="Arial Unicode MS"/>
          <w:b/>
          <w:bCs/>
          <w:color w:val="auto"/>
          <w:sz w:val="20"/>
        </w:rPr>
        <w:t>2</w:t>
      </w:r>
      <w:r w:rsidRPr="005E77A9">
        <w:rPr>
          <w:color w:val="auto"/>
          <w:sz w:val="20"/>
        </w:rPr>
        <w:t>,</w:t>
      </w:r>
      <w:r w:rsidRPr="005E77A9">
        <w:rPr>
          <w:b/>
          <w:bCs/>
          <w:color w:val="auto"/>
          <w:sz w:val="20"/>
        </w:rPr>
        <w:t xml:space="preserve"> </w:t>
      </w:r>
      <w:r w:rsidRPr="005E77A9">
        <w:rPr>
          <w:color w:val="auto"/>
          <w:sz w:val="20"/>
        </w:rPr>
        <w:t xml:space="preserve">o výmere </w:t>
      </w:r>
      <w:r w:rsidR="00891D77">
        <w:rPr>
          <w:b/>
          <w:bCs/>
          <w:color w:val="auto"/>
          <w:sz w:val="20"/>
        </w:rPr>
        <w:t>59,42</w:t>
      </w:r>
      <w:r>
        <w:rPr>
          <w:color w:val="auto"/>
          <w:sz w:val="20"/>
        </w:rPr>
        <w:t xml:space="preserve"> </w:t>
      </w:r>
      <w:r w:rsidRPr="00A66343">
        <w:rPr>
          <w:b/>
          <w:bCs/>
          <w:color w:val="auto"/>
          <w:sz w:val="20"/>
        </w:rPr>
        <w:t>m</w:t>
      </w:r>
      <w:r w:rsidRPr="00A66343">
        <w:rPr>
          <w:b/>
          <w:bCs/>
          <w:color w:val="auto"/>
          <w:sz w:val="20"/>
          <w:vertAlign w:val="superscript"/>
        </w:rPr>
        <w:t>2</w:t>
      </w:r>
      <w:bookmarkEnd w:id="0"/>
      <w:r>
        <w:rPr>
          <w:color w:val="auto"/>
          <w:sz w:val="20"/>
        </w:rPr>
        <w:t>, n</w:t>
      </w:r>
      <w:r w:rsidRPr="005E77A9">
        <w:rPr>
          <w:color w:val="auto"/>
          <w:sz w:val="20"/>
        </w:rPr>
        <w:t>achádzajúc</w:t>
      </w:r>
      <w:r>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2830B482"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F60982">
        <w:rPr>
          <w:b/>
          <w:bCs/>
          <w:sz w:val="20"/>
        </w:rPr>
        <w:t>1</w:t>
      </w:r>
      <w:r w:rsidR="00786921">
        <w:rPr>
          <w:b/>
          <w:bCs/>
          <w:sz w:val="20"/>
        </w:rPr>
        <w:t>5</w:t>
      </w:r>
      <w:r w:rsidR="00F60982" w:rsidRPr="001D3671">
        <w:rPr>
          <w:b/>
          <w:bCs/>
          <w:sz w:val="20"/>
        </w:rPr>
        <w:t>.</w:t>
      </w:r>
      <w:r w:rsidR="00891D77">
        <w:rPr>
          <w:b/>
          <w:bCs/>
          <w:sz w:val="20"/>
        </w:rPr>
        <w:t>8</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lastRenderedPageBreak/>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0176C44F"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891D77">
        <w:rPr>
          <w:rFonts w:eastAsia="Times New Roman"/>
          <w:b/>
          <w:bCs/>
          <w:sz w:val="20"/>
        </w:rPr>
        <w:t>59,42</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74043558"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DC09A4" w:rsidRPr="00F60982">
        <w:rPr>
          <w:b/>
          <w:bCs/>
          <w:sz w:val="20"/>
          <w:szCs w:val="20"/>
        </w:rPr>
        <w:t xml:space="preserve"> Nájomného</w:t>
      </w:r>
      <w:r w:rsidR="00F60982">
        <w:rPr>
          <w:b/>
          <w:bCs/>
          <w:sz w:val="20"/>
          <w:szCs w:val="20"/>
        </w:rPr>
        <w:t xml:space="preserve"> (min. </w:t>
      </w:r>
      <w:r w:rsidR="00891D77">
        <w:rPr>
          <w:b/>
          <w:bCs/>
          <w:sz w:val="20"/>
          <w:szCs w:val="20"/>
        </w:rPr>
        <w:t>3</w:t>
      </w:r>
      <w:r w:rsidR="00F60982">
        <w:rPr>
          <w:b/>
          <w:bCs/>
          <w:sz w:val="20"/>
          <w:szCs w:val="20"/>
        </w:rPr>
        <w:t>50,-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 xml:space="preserve">za obdobie do 31.3. Prenajímateľ vyfakturuje Nájomcovi najneskôr do 30.04. príslušného kalendárneho roka. V prípade </w:t>
      </w:r>
      <w:r w:rsidR="00E23D5B" w:rsidRPr="00F60982">
        <w:rPr>
          <w:sz w:val="20"/>
        </w:rPr>
        <w:lastRenderedPageBreak/>
        <w:t>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4"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4"/>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5"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5"/>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lastRenderedPageBreak/>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w:t>
      </w:r>
      <w:r w:rsidRPr="005E77A9">
        <w:rPr>
          <w:sz w:val="20"/>
        </w:rPr>
        <w:lastRenderedPageBreak/>
        <w:t>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w:t>
      </w:r>
      <w:r w:rsidRPr="003B224F">
        <w:rPr>
          <w:sz w:val="20"/>
        </w:rPr>
        <w:lastRenderedPageBreak/>
        <w:t xml:space="preserve">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 </w:t>
      </w:r>
    </w:p>
    <w:bookmarkEnd w:id="6"/>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3D6141D1"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CE59EC">
        <w:rPr>
          <w:sz w:val="20"/>
        </w:rPr>
        <w:t xml:space="preserve">, </w:t>
      </w:r>
      <w:r w:rsidR="00CE59EC" w:rsidRPr="001D3671">
        <w:rPr>
          <w:b/>
          <w:bCs/>
          <w:sz w:val="20"/>
        </w:rPr>
        <w:t xml:space="preserve">nie však skôr ako od </w:t>
      </w:r>
      <w:r w:rsidR="00CE59EC">
        <w:rPr>
          <w:b/>
          <w:bCs/>
          <w:sz w:val="20"/>
        </w:rPr>
        <w:t>15</w:t>
      </w:r>
      <w:r w:rsidR="00CE59EC" w:rsidRPr="001D3671">
        <w:rPr>
          <w:b/>
          <w:bCs/>
          <w:sz w:val="20"/>
        </w:rPr>
        <w:t>.</w:t>
      </w:r>
      <w:r w:rsidR="00CE59EC">
        <w:rPr>
          <w:b/>
          <w:bCs/>
          <w:sz w:val="20"/>
        </w:rPr>
        <w:t>8</w:t>
      </w:r>
      <w:r w:rsidR="00CE59EC" w:rsidRPr="001D3671">
        <w:rPr>
          <w:b/>
          <w:bCs/>
          <w:sz w:val="20"/>
        </w:rPr>
        <w:t>.202</w:t>
      </w:r>
      <w:r w:rsidR="00CE59EC">
        <w:rPr>
          <w:b/>
          <w:bCs/>
          <w:sz w:val="20"/>
        </w:rPr>
        <w:t>5</w:t>
      </w:r>
      <w:r w:rsidRPr="00A00E2D">
        <w:rPr>
          <w:sz w:val="20"/>
        </w:rPr>
        <w:t>. Prenajímateľ je povinný zverejniť túto Zmluvu bez zbytočného odkladu po nadobudnutí jej platnosti.</w:t>
      </w:r>
    </w:p>
    <w:p w14:paraId="06D10ECB" w14:textId="77777777" w:rsidR="00CE59EC" w:rsidRPr="005E77A9" w:rsidRDefault="00CE59EC" w:rsidP="00A11EDB">
      <w:pPr>
        <w:spacing w:line="233" w:lineRule="auto"/>
        <w:ind w:left="1530" w:hanging="840"/>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0982">
      <w:footerReference w:type="default" r:id="rId12"/>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509F" w14:textId="77777777" w:rsidR="00E2754F" w:rsidRDefault="00E2754F">
      <w:pPr>
        <w:spacing w:line="240" w:lineRule="auto"/>
      </w:pPr>
      <w:r>
        <w:separator/>
      </w:r>
    </w:p>
  </w:endnote>
  <w:endnote w:type="continuationSeparator" w:id="0">
    <w:p w14:paraId="435CAFBA" w14:textId="77777777" w:rsidR="00E2754F" w:rsidRDefault="00E27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353E3DBE"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891D77">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146A" w14:textId="77777777" w:rsidR="00E2754F" w:rsidRDefault="00E2754F">
      <w:pPr>
        <w:spacing w:line="240" w:lineRule="auto"/>
      </w:pPr>
      <w:r>
        <w:separator/>
      </w:r>
    </w:p>
  </w:footnote>
  <w:footnote w:type="continuationSeparator" w:id="0">
    <w:p w14:paraId="62BBC9A0" w14:textId="77777777" w:rsidR="00E2754F" w:rsidRDefault="00E275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8692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1D77"/>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856FA"/>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D2B"/>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59EC"/>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54F"/>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175E"/>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5785</Words>
  <Characters>32979</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4</cp:revision>
  <cp:lastPrinted>2019-10-14T07:00:00Z</cp:lastPrinted>
  <dcterms:created xsi:type="dcterms:W3CDTF">2025-02-19T17:38:00Z</dcterms:created>
  <dcterms:modified xsi:type="dcterms:W3CDTF">2025-02-19T17:58:00Z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