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29B863DD"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CD3F84">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59EA64FD"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194313" w:rsidRPr="00194313">
        <w:rPr>
          <w:rFonts w:ascii="Times New Roman" w:eastAsia="Times New Roman" w:hAnsi="Times New Roman" w:cs="Times New Roman"/>
          <w:b/>
          <w:color w:val="000000"/>
          <w:sz w:val="24"/>
          <w:szCs w:val="24"/>
          <w:lang w:eastAsia="sk-SK"/>
        </w:rPr>
        <w:t xml:space="preserve">MK </w:t>
      </w:r>
      <w:r w:rsidR="003C796A">
        <w:rPr>
          <w:rFonts w:ascii="Times New Roman" w:eastAsia="Times New Roman" w:hAnsi="Times New Roman" w:cs="Times New Roman"/>
          <w:b/>
          <w:color w:val="000000"/>
          <w:sz w:val="24"/>
          <w:szCs w:val="24"/>
          <w:lang w:eastAsia="sk-SK"/>
        </w:rPr>
        <w:t>Kasalova</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52F5AB50"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00CD3F84" w:rsidRPr="00CD3F84">
        <w:rPr>
          <w:rFonts w:ascii="Times New Roman" w:eastAsia="Times New Roman" w:hAnsi="Times New Roman" w:cs="Times New Roman"/>
          <w:color w:val="000000"/>
          <w:sz w:val="24"/>
          <w:szCs w:val="24"/>
          <w:lang w:eastAsia="sk-SK"/>
        </w:rPr>
        <w:t>vyhláseného v rámci zriadeného dynamického nákupného systému na  predmet:</w:t>
      </w:r>
      <w:r w:rsidRPr="000053F7">
        <w:rPr>
          <w:rFonts w:ascii="Times New Roman" w:eastAsia="Times New Roman" w:hAnsi="Times New Roman" w:cs="Times New Roman"/>
          <w:color w:val="000000"/>
          <w:sz w:val="24"/>
          <w:szCs w:val="24"/>
          <w:lang w:eastAsia="sk-SK"/>
        </w:rPr>
        <w:t xml:space="preserve"> „</w:t>
      </w:r>
      <w:r w:rsidR="00194313" w:rsidRPr="00194313">
        <w:rPr>
          <w:rFonts w:ascii="Times New Roman" w:eastAsia="Times New Roman" w:hAnsi="Times New Roman" w:cs="Times New Roman"/>
          <w:color w:val="000000"/>
          <w:sz w:val="24"/>
          <w:szCs w:val="24"/>
          <w:lang w:eastAsia="sk-SK"/>
        </w:rPr>
        <w:t xml:space="preserve">MK </w:t>
      </w:r>
      <w:r w:rsidR="003C796A">
        <w:rPr>
          <w:rFonts w:ascii="Times New Roman" w:eastAsia="Times New Roman" w:hAnsi="Times New Roman" w:cs="Times New Roman"/>
          <w:color w:val="000000"/>
          <w:sz w:val="24"/>
          <w:szCs w:val="24"/>
          <w:lang w:eastAsia="sk-SK"/>
        </w:rPr>
        <w:t>Kasalova</w:t>
      </w:r>
      <w:r>
        <w:rPr>
          <w:rFonts w:ascii="Times New Roman" w:eastAsia="Times New Roman" w:hAnsi="Times New Roman" w:cs="Times New Roman"/>
          <w:color w:val="000000"/>
          <w:sz w:val="24"/>
          <w:szCs w:val="24"/>
          <w:lang w:eastAsia="sk-SK"/>
        </w:rPr>
        <w:t xml:space="preserve">“ </w:t>
      </w:r>
      <w:r w:rsidR="00CD3F84" w:rsidRPr="00CD3F84">
        <w:rPr>
          <w:rFonts w:ascii="Times New Roman" w:eastAsia="Times New Roman" w:hAnsi="Times New Roman" w:cs="Times New Roman"/>
          <w:color w:val="000000"/>
          <w:sz w:val="24"/>
          <w:szCs w:val="24"/>
          <w:lang w:eastAsia="sk-SK"/>
        </w:rPr>
        <w:t>uskutočnenej v zmysle zákona č. 343/2015 o verejnom obstarávaní a o zmene a doplnení niektorých zákonov</w:t>
      </w:r>
      <w:r>
        <w:rPr>
          <w:rFonts w:ascii="Times New Roman" w:eastAsia="Times New Roman" w:hAnsi="Times New Roman" w:cs="Times New Roman"/>
          <w:color w:val="000000"/>
          <w:sz w:val="24"/>
          <w:szCs w:val="24"/>
          <w:lang w:eastAsia="sk-SK"/>
        </w:rPr>
        <w:t xml:space="preserve">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459FBB7A"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194313" w:rsidRPr="00194313">
        <w:rPr>
          <w:rFonts w:ascii="Times New Roman" w:eastAsia="Times New Roman" w:hAnsi="Times New Roman" w:cs="Times New Roman"/>
          <w:sz w:val="24"/>
          <w:szCs w:val="24"/>
          <w:lang w:eastAsia="sk-SK"/>
        </w:rPr>
        <w:t xml:space="preserve">MK </w:t>
      </w:r>
      <w:r w:rsidR="003C796A">
        <w:rPr>
          <w:rFonts w:ascii="Times New Roman" w:eastAsia="Times New Roman" w:hAnsi="Times New Roman" w:cs="Times New Roman"/>
          <w:sz w:val="24"/>
          <w:szCs w:val="24"/>
          <w:lang w:eastAsia="sk-SK"/>
        </w:rPr>
        <w:t>Kasalova</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1BE7FE48"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 xml:space="preserve">ulica </w:t>
      </w:r>
      <w:r w:rsidR="003C796A">
        <w:rPr>
          <w:rFonts w:ascii="Times New Roman" w:eastAsia="Times New Roman" w:hAnsi="Times New Roman" w:cs="Times New Roman"/>
          <w:sz w:val="24"/>
          <w:szCs w:val="24"/>
          <w:lang w:eastAsia="sk-SK"/>
        </w:rPr>
        <w:t>Kasalova</w:t>
      </w:r>
      <w:r w:rsidR="003365FC" w:rsidRPr="003365FC">
        <w:rPr>
          <w:rFonts w:ascii="Times New Roman" w:eastAsia="Times New Roman" w:hAnsi="Times New Roman" w:cs="Times New Roman"/>
          <w:sz w:val="24"/>
          <w:szCs w:val="24"/>
          <w:lang w:eastAsia="sk-SK"/>
        </w:rPr>
        <w:t>,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3CAAD31B"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w:t>
      </w:r>
      <w:r w:rsidR="00CD3F84">
        <w:rPr>
          <w:rFonts w:ascii="Times New Roman" w:hAnsi="Times New Roman"/>
          <w:color w:val="000000"/>
          <w:sz w:val="24"/>
          <w:szCs w:val="24"/>
        </w:rPr>
        <w:t>30</w:t>
      </w:r>
      <w:bookmarkStart w:id="1" w:name="_GoBack"/>
      <w:bookmarkEnd w:id="1"/>
      <w:r w:rsidR="008F38F7" w:rsidRPr="000053F7">
        <w:rPr>
          <w:rFonts w:ascii="Times New Roman" w:hAnsi="Times New Roman"/>
          <w:color w:val="000000"/>
          <w:sz w:val="24"/>
          <w:szCs w:val="24"/>
        </w:rPr>
        <w:t xml:space="preserve">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614DE9CA"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BD10" w14:textId="77777777" w:rsidR="00FE10C2" w:rsidRDefault="00FE10C2" w:rsidP="0075699D">
      <w:pPr>
        <w:spacing w:after="0" w:line="240" w:lineRule="auto"/>
      </w:pPr>
      <w:r>
        <w:separator/>
      </w:r>
    </w:p>
  </w:endnote>
  <w:endnote w:type="continuationSeparator" w:id="0">
    <w:p w14:paraId="33BA0C92" w14:textId="77777777" w:rsidR="00FE10C2" w:rsidRDefault="00FE10C2"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FE10C2">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B639E" w14:textId="77777777" w:rsidR="00FE10C2" w:rsidRDefault="00FE10C2" w:rsidP="0075699D">
      <w:pPr>
        <w:spacing w:after="0" w:line="240" w:lineRule="auto"/>
      </w:pPr>
      <w:r>
        <w:separator/>
      </w:r>
    </w:p>
  </w:footnote>
  <w:footnote w:type="continuationSeparator" w:id="0">
    <w:p w14:paraId="12C0B152" w14:textId="77777777" w:rsidR="00FE10C2" w:rsidRDefault="00FE10C2"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565AD"/>
    <w:rsid w:val="00061714"/>
    <w:rsid w:val="00061C56"/>
    <w:rsid w:val="000707C8"/>
    <w:rsid w:val="00075661"/>
    <w:rsid w:val="00084DCA"/>
    <w:rsid w:val="000B5B89"/>
    <w:rsid w:val="000D30CA"/>
    <w:rsid w:val="000E2674"/>
    <w:rsid w:val="000E36CA"/>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3C796A"/>
    <w:rsid w:val="00420329"/>
    <w:rsid w:val="00424D47"/>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26DA4"/>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D3F84"/>
    <w:rsid w:val="00CE1C11"/>
    <w:rsid w:val="00CE60E1"/>
    <w:rsid w:val="00CF0386"/>
    <w:rsid w:val="00D42459"/>
    <w:rsid w:val="00D46033"/>
    <w:rsid w:val="00D6444C"/>
    <w:rsid w:val="00D6621E"/>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D2CF1"/>
    <w:rsid w:val="00FE10C2"/>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C0C5-C805-4DA7-8148-0EB405A8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5509</Words>
  <Characters>31403</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3</cp:revision>
  <cp:lastPrinted>2021-05-28T11:11:00Z</cp:lastPrinted>
  <dcterms:created xsi:type="dcterms:W3CDTF">2022-06-01T09:34:00Z</dcterms:created>
  <dcterms:modified xsi:type="dcterms:W3CDTF">2022-06-28T04:43:00Z</dcterms:modified>
</cp:coreProperties>
</file>