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74F2834A" w14:textId="77777777" w:rsidR="00FE5255" w:rsidRDefault="00FE5255" w:rsidP="00FE5255">
      <w:pPr>
        <w:adjustRightInd w:val="0"/>
        <w:jc w:val="center"/>
        <w:rPr>
          <w:rFonts w:ascii="Arial" w:hAnsi="Arial" w:cs="Arial"/>
          <w:b/>
          <w:sz w:val="28"/>
          <w:szCs w:val="28"/>
        </w:rPr>
      </w:pPr>
      <w:r w:rsidRPr="00FE5255">
        <w:rPr>
          <w:rFonts w:ascii="Arial" w:hAnsi="Arial" w:cs="Arial"/>
          <w:b/>
          <w:i/>
          <w:iCs/>
          <w:sz w:val="28"/>
          <w:szCs w:val="28"/>
        </w:rPr>
        <w:t>„</w:t>
      </w:r>
      <w:r w:rsidRPr="00FE5255">
        <w:rPr>
          <w:rFonts w:ascii="Arial" w:hAnsi="Arial" w:cs="Arial"/>
          <w:b/>
          <w:sz w:val="28"/>
          <w:szCs w:val="28"/>
        </w:rPr>
        <w:t xml:space="preserve">Akčný plán pre zlepšenie podmienok cyklistickej infraštruktúry </w:t>
      </w:r>
    </w:p>
    <w:p w14:paraId="258794C6" w14:textId="14E5F27E" w:rsidR="00FE5255" w:rsidRPr="00FE5255" w:rsidRDefault="00FE5255" w:rsidP="00FE5255">
      <w:pPr>
        <w:adjustRightInd w:val="0"/>
        <w:jc w:val="center"/>
        <w:rPr>
          <w:rFonts w:ascii="Arial" w:hAnsi="Arial" w:cs="Arial"/>
          <w:b/>
          <w:i/>
          <w:iCs/>
          <w:sz w:val="28"/>
          <w:szCs w:val="28"/>
        </w:rPr>
      </w:pPr>
      <w:r w:rsidRPr="00FE5255">
        <w:rPr>
          <w:rFonts w:ascii="Arial" w:hAnsi="Arial" w:cs="Arial"/>
          <w:b/>
          <w:sz w:val="28"/>
          <w:szCs w:val="28"/>
        </w:rPr>
        <w:t>pomocou organizačných opatrení</w:t>
      </w:r>
      <w:r w:rsidR="00EB08F3">
        <w:rPr>
          <w:rFonts w:ascii="Arial" w:hAnsi="Arial" w:cs="Arial"/>
          <w:b/>
          <w:sz w:val="28"/>
          <w:szCs w:val="28"/>
        </w:rPr>
        <w:t>.</w:t>
      </w:r>
      <w:r w:rsidRPr="00FE5255">
        <w:rPr>
          <w:rFonts w:ascii="Arial" w:hAnsi="Arial" w:cs="Arial"/>
          <w:b/>
          <w:i/>
          <w:iCs/>
          <w:sz w:val="28"/>
          <w:szCs w:val="28"/>
        </w:rPr>
        <w:t>“</w:t>
      </w:r>
    </w:p>
    <w:p w14:paraId="4231FD59" w14:textId="5EAC19E3" w:rsidR="00FE5255" w:rsidRPr="00EB08F3" w:rsidRDefault="00FE5255" w:rsidP="00FE5255">
      <w:pPr>
        <w:adjustRightInd w:val="0"/>
        <w:jc w:val="center"/>
        <w:rPr>
          <w:rFonts w:ascii="Arial" w:hAnsi="Arial" w:cs="Arial"/>
          <w:sz w:val="24"/>
          <w:szCs w:val="24"/>
        </w:rPr>
      </w:pPr>
      <w:r w:rsidRPr="00EB08F3">
        <w:rPr>
          <w:rFonts w:ascii="Arial" w:hAnsi="Arial" w:cs="Arial"/>
          <w:sz w:val="24"/>
          <w:szCs w:val="24"/>
        </w:rPr>
        <w:t xml:space="preserve">Vestník č. </w:t>
      </w:r>
      <w:r w:rsidR="00EB08F3" w:rsidRPr="00EB08F3">
        <w:rPr>
          <w:rFonts w:ascii="Arial" w:hAnsi="Arial" w:cs="Arial"/>
          <w:sz w:val="24"/>
          <w:szCs w:val="24"/>
        </w:rPr>
        <w:t>272/2022 – 27.12.2022 pod č. 51150 - WYP</w:t>
      </w:r>
    </w:p>
    <w:p w14:paraId="1F74DAA6" w14:textId="1DDAA59F" w:rsidR="005D7EAE" w:rsidRPr="00EB08F3" w:rsidRDefault="005D7EAE" w:rsidP="00494033">
      <w:pPr>
        <w:pStyle w:val="Zkladntext"/>
        <w:rPr>
          <w:rFonts w:ascii="Arial" w:hAnsi="Arial" w:cs="Arial"/>
          <w:b/>
          <w:sz w:val="24"/>
          <w:szCs w:val="24"/>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0F0FAFE3" w:rsidR="00CD32F9" w:rsidRDefault="00CD32F9" w:rsidP="00583F00">
      <w:pPr>
        <w:rPr>
          <w:rFonts w:ascii="Arial" w:hAnsi="Arial" w:cs="Arial"/>
          <w:b/>
          <w:bCs/>
        </w:rPr>
      </w:pPr>
    </w:p>
    <w:p w14:paraId="67DB580D" w14:textId="77777777" w:rsidR="00494033" w:rsidRDefault="00494033" w:rsidP="00583F00">
      <w:pPr>
        <w:rPr>
          <w:rFonts w:ascii="Arial" w:hAnsi="Arial" w:cs="Arial"/>
          <w:b/>
          <w:bCs/>
        </w:rPr>
      </w:pPr>
    </w:p>
    <w:p w14:paraId="0A7A243D" w14:textId="77777777" w:rsidR="00CD32F9" w:rsidRDefault="00CD32F9" w:rsidP="00583F00">
      <w:pPr>
        <w:rPr>
          <w:rFonts w:ascii="Arial" w:hAnsi="Arial" w:cs="Arial"/>
          <w:b/>
          <w:bCs/>
        </w:rPr>
      </w:pPr>
    </w:p>
    <w:p w14:paraId="5A329DE9" w14:textId="77777777" w:rsidR="00494033" w:rsidRPr="00CD32F9" w:rsidRDefault="00494033" w:rsidP="00494033">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62E0CE15" w14:textId="77777777" w:rsidR="00494033" w:rsidRPr="00CD32F9" w:rsidRDefault="00494033" w:rsidP="00494033">
      <w:pPr>
        <w:rPr>
          <w:rFonts w:asciiTheme="minorHAnsi" w:hAnsiTheme="minorHAnsi" w:cstheme="minorHAnsi"/>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t>Ing. Artúr Benes, riaditeľ ARR PSK</w:t>
      </w:r>
      <w:r w:rsidRPr="00CD32F9">
        <w:rPr>
          <w:rFonts w:asciiTheme="minorHAnsi" w:hAnsiTheme="minorHAnsi" w:cstheme="minorHAnsi"/>
          <w:bCs/>
          <w:kern w:val="32"/>
        </w:rPr>
        <w:tab/>
      </w:r>
    </w:p>
    <w:p w14:paraId="654EDEAF" w14:textId="1A6E575D" w:rsidR="00494033" w:rsidRPr="00494033" w:rsidRDefault="00494033" w:rsidP="00494033">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494033">
        <w:rPr>
          <w:rFonts w:asciiTheme="minorHAnsi" w:hAnsiTheme="minorHAnsi" w:cstheme="minorHAnsi"/>
        </w:rPr>
        <w:t>(na základe poverenia)</w:t>
      </w: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pPr>
        <w:pStyle w:val="Odsekzoznamu"/>
        <w:numPr>
          <w:ilvl w:val="2"/>
          <w:numId w:val="6"/>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pPr>
        <w:pStyle w:val="Odsekzoznamu"/>
        <w:numPr>
          <w:ilvl w:val="2"/>
          <w:numId w:val="6"/>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pPr>
        <w:pStyle w:val="Odsekzoznamu"/>
        <w:numPr>
          <w:ilvl w:val="2"/>
          <w:numId w:val="6"/>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pPr>
        <w:pStyle w:val="Odsekzoznamu"/>
        <w:numPr>
          <w:ilvl w:val="2"/>
          <w:numId w:val="6"/>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pPr>
        <w:pStyle w:val="Odsekzoznamu"/>
        <w:numPr>
          <w:ilvl w:val="2"/>
          <w:numId w:val="6"/>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pPr>
        <w:pStyle w:val="Odsekzoznamu"/>
        <w:numPr>
          <w:ilvl w:val="2"/>
          <w:numId w:val="6"/>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Style w:val="TableNormal"/>
        <w:tblW w:w="0" w:type="auto"/>
        <w:tblInd w:w="851" w:type="dxa"/>
        <w:tblLayout w:type="fixed"/>
        <w:tblLook w:val="01E0" w:firstRow="1" w:lastRow="1" w:firstColumn="1" w:lastColumn="1" w:noHBand="0" w:noVBand="0"/>
      </w:tblPr>
      <w:tblGrid>
        <w:gridCol w:w="2826"/>
        <w:gridCol w:w="6293"/>
      </w:tblGrid>
      <w:tr w:rsidR="00494033" w:rsidRPr="00F574E4" w14:paraId="723C157F" w14:textId="77777777" w:rsidTr="00494033">
        <w:trPr>
          <w:trHeight w:val="265"/>
        </w:trPr>
        <w:tc>
          <w:tcPr>
            <w:tcW w:w="2826" w:type="dxa"/>
          </w:tcPr>
          <w:p w14:paraId="664E7B9E" w14:textId="77777777" w:rsidR="00494033" w:rsidRPr="00494033" w:rsidRDefault="00494033" w:rsidP="00494033">
            <w:pPr>
              <w:spacing w:line="264" w:lineRule="exact"/>
              <w:ind w:left="345" w:right="45" w:hanging="345"/>
              <w:rPr>
                <w:rFonts w:asciiTheme="minorHAnsi" w:hAnsiTheme="minorHAnsi" w:cstheme="minorHAnsi"/>
              </w:rPr>
            </w:pPr>
            <w:r w:rsidRPr="00494033">
              <w:rPr>
                <w:rFonts w:asciiTheme="minorHAnsi" w:hAnsiTheme="minorHAnsi" w:cstheme="minorHAnsi"/>
              </w:rPr>
              <w:t>Názov:</w:t>
            </w:r>
          </w:p>
        </w:tc>
        <w:tc>
          <w:tcPr>
            <w:tcW w:w="6293" w:type="dxa"/>
          </w:tcPr>
          <w:p w14:paraId="6BE95A5A" w14:textId="77777777" w:rsidR="00494033" w:rsidRPr="00B37341" w:rsidRDefault="00494033" w:rsidP="00E61102">
            <w:pPr>
              <w:widowControl/>
              <w:adjustRightInd w:val="0"/>
              <w:ind w:left="206"/>
              <w:rPr>
                <w:rFonts w:asciiTheme="minorHAnsi" w:eastAsiaTheme="minorHAnsi" w:hAnsiTheme="minorHAnsi" w:cstheme="minorHAnsi"/>
                <w:b/>
                <w:bCs/>
                <w:lang w:val="sk-SK" w:eastAsia="en-US"/>
              </w:rPr>
            </w:pPr>
            <w:r w:rsidRPr="00B37341">
              <w:rPr>
                <w:rFonts w:asciiTheme="minorHAnsi" w:eastAsiaTheme="minorHAnsi" w:hAnsiTheme="minorHAnsi" w:cstheme="minorHAnsi"/>
                <w:b/>
                <w:bCs/>
                <w:lang w:val="sk-SK" w:eastAsia="en-US"/>
              </w:rPr>
              <w:t>Mesto Prešov</w:t>
            </w:r>
          </w:p>
        </w:tc>
      </w:tr>
      <w:tr w:rsidR="00494033" w:rsidRPr="00F574E4" w14:paraId="2784813A" w14:textId="77777777" w:rsidTr="00494033">
        <w:trPr>
          <w:trHeight w:val="303"/>
        </w:trPr>
        <w:tc>
          <w:tcPr>
            <w:tcW w:w="2826" w:type="dxa"/>
          </w:tcPr>
          <w:p w14:paraId="06118B12" w14:textId="77777777" w:rsidR="00494033" w:rsidRPr="00B37341" w:rsidRDefault="00494033" w:rsidP="00494033">
            <w:pPr>
              <w:spacing w:line="264" w:lineRule="exact"/>
              <w:ind w:right="45"/>
              <w:rPr>
                <w:rFonts w:asciiTheme="minorHAnsi" w:hAnsiTheme="minorHAnsi" w:cstheme="minorHAnsi"/>
              </w:rPr>
            </w:pPr>
            <w:r w:rsidRPr="00B37341">
              <w:rPr>
                <w:rFonts w:asciiTheme="minorHAnsi" w:hAnsiTheme="minorHAnsi" w:cstheme="minorHAnsi"/>
              </w:rPr>
              <w:t>Sídlo:</w:t>
            </w:r>
          </w:p>
        </w:tc>
        <w:tc>
          <w:tcPr>
            <w:tcW w:w="6293" w:type="dxa"/>
          </w:tcPr>
          <w:p w14:paraId="6A10F499" w14:textId="77777777" w:rsidR="00494033" w:rsidRPr="00B37341" w:rsidRDefault="00494033" w:rsidP="00E61102">
            <w:pPr>
              <w:spacing w:line="264" w:lineRule="exact"/>
              <w:ind w:left="206" w:right="45"/>
              <w:rPr>
                <w:rFonts w:asciiTheme="minorHAnsi" w:hAnsiTheme="minorHAnsi" w:cstheme="minorHAnsi"/>
              </w:rPr>
            </w:pPr>
            <w:r w:rsidRPr="00B37341">
              <w:rPr>
                <w:rFonts w:asciiTheme="minorHAnsi" w:hAnsiTheme="minorHAnsi" w:cstheme="minorHAnsi"/>
              </w:rPr>
              <w:t>Hlavná 73, 080 01 Prešov</w:t>
            </w:r>
          </w:p>
        </w:tc>
      </w:tr>
      <w:tr w:rsidR="00494033" w:rsidRPr="00F574E4" w14:paraId="6972DFB6" w14:textId="77777777" w:rsidTr="00494033">
        <w:trPr>
          <w:trHeight w:val="327"/>
        </w:trPr>
        <w:tc>
          <w:tcPr>
            <w:tcW w:w="2826" w:type="dxa"/>
          </w:tcPr>
          <w:p w14:paraId="215E5A46" w14:textId="77777777" w:rsidR="00494033" w:rsidRPr="00B37341" w:rsidRDefault="00494033" w:rsidP="00494033">
            <w:pPr>
              <w:spacing w:line="264" w:lineRule="exact"/>
              <w:ind w:left="-1" w:right="45"/>
              <w:rPr>
                <w:rFonts w:asciiTheme="minorHAnsi" w:hAnsiTheme="minorHAnsi" w:cstheme="minorHAnsi"/>
              </w:rPr>
            </w:pPr>
            <w:r w:rsidRPr="00B37341">
              <w:rPr>
                <w:rFonts w:asciiTheme="minorHAnsi" w:hAnsiTheme="minorHAnsi" w:cstheme="minorHAnsi"/>
              </w:rPr>
              <w:t>IČO:</w:t>
            </w:r>
          </w:p>
        </w:tc>
        <w:tc>
          <w:tcPr>
            <w:tcW w:w="6293" w:type="dxa"/>
          </w:tcPr>
          <w:p w14:paraId="3BB9FEDB" w14:textId="77777777" w:rsidR="00494033" w:rsidRPr="00B37341" w:rsidRDefault="00494033" w:rsidP="00E61102">
            <w:pPr>
              <w:spacing w:line="264" w:lineRule="exact"/>
              <w:ind w:left="206" w:right="45"/>
              <w:rPr>
                <w:rFonts w:asciiTheme="minorHAnsi" w:hAnsiTheme="minorHAnsi" w:cstheme="minorHAnsi"/>
              </w:rPr>
            </w:pPr>
            <w:r w:rsidRPr="00B37341">
              <w:rPr>
                <w:rFonts w:asciiTheme="minorHAnsi" w:hAnsiTheme="minorHAnsi" w:cstheme="minorHAnsi"/>
              </w:rPr>
              <w:t>00327646</w:t>
            </w:r>
          </w:p>
        </w:tc>
      </w:tr>
      <w:tr w:rsidR="00494033" w:rsidRPr="00F574E4" w14:paraId="66BBB2D0" w14:textId="77777777" w:rsidTr="00494033">
        <w:trPr>
          <w:trHeight w:val="312"/>
        </w:trPr>
        <w:tc>
          <w:tcPr>
            <w:tcW w:w="2826" w:type="dxa"/>
          </w:tcPr>
          <w:p w14:paraId="76FD463F" w14:textId="77777777" w:rsidR="00494033" w:rsidRPr="00B37341" w:rsidRDefault="00494033" w:rsidP="00494033">
            <w:pPr>
              <w:spacing w:line="264" w:lineRule="exact"/>
              <w:ind w:left="-1" w:right="45"/>
              <w:rPr>
                <w:rFonts w:asciiTheme="minorHAnsi" w:hAnsiTheme="minorHAnsi" w:cstheme="minorHAnsi"/>
              </w:rPr>
            </w:pPr>
            <w:r w:rsidRPr="00B37341">
              <w:rPr>
                <w:rFonts w:asciiTheme="minorHAnsi" w:hAnsiTheme="minorHAnsi" w:cstheme="minorHAnsi"/>
              </w:rPr>
              <w:t>Zastúpený:</w:t>
            </w:r>
          </w:p>
        </w:tc>
        <w:tc>
          <w:tcPr>
            <w:tcW w:w="6293" w:type="dxa"/>
          </w:tcPr>
          <w:p w14:paraId="6D7CC5C3" w14:textId="632ED525" w:rsidR="00494033" w:rsidRPr="00EB08F3" w:rsidRDefault="00EB08F3" w:rsidP="00E61102">
            <w:pPr>
              <w:spacing w:line="264" w:lineRule="exact"/>
              <w:ind w:left="206" w:right="45"/>
              <w:rPr>
                <w:rFonts w:asciiTheme="minorHAnsi" w:hAnsiTheme="minorHAnsi" w:cstheme="minorHAnsi"/>
              </w:rPr>
            </w:pPr>
            <w:r w:rsidRPr="00EB08F3">
              <w:rPr>
                <w:rFonts w:asciiTheme="minorHAnsi" w:hAnsiTheme="minorHAnsi" w:cstheme="minorHAnsi"/>
                <w:color w:val="000000"/>
              </w:rPr>
              <w:t xml:space="preserve">Ing. František </w:t>
            </w:r>
            <w:proofErr w:type="spellStart"/>
            <w:r w:rsidRPr="00EB08F3">
              <w:rPr>
                <w:rFonts w:asciiTheme="minorHAnsi" w:hAnsiTheme="minorHAnsi" w:cstheme="minorHAnsi"/>
                <w:color w:val="000000"/>
              </w:rPr>
              <w:t>Oľha</w:t>
            </w:r>
            <w:proofErr w:type="spellEnd"/>
            <w:r w:rsidRPr="00EB08F3">
              <w:rPr>
                <w:rFonts w:asciiTheme="minorHAnsi" w:hAnsiTheme="minorHAnsi" w:cstheme="minorHAnsi"/>
                <w:color w:val="000000"/>
              </w:rPr>
              <w:t>, primátor mesta</w:t>
            </w:r>
          </w:p>
        </w:tc>
      </w:tr>
      <w:tr w:rsidR="00494033" w:rsidRPr="00F574E4" w14:paraId="414F4658" w14:textId="77777777" w:rsidTr="00494033">
        <w:trPr>
          <w:trHeight w:val="544"/>
        </w:trPr>
        <w:tc>
          <w:tcPr>
            <w:tcW w:w="2826" w:type="dxa"/>
          </w:tcPr>
          <w:p w14:paraId="49C7C1D5" w14:textId="77777777" w:rsidR="00494033" w:rsidRPr="00B37341" w:rsidRDefault="00494033" w:rsidP="00494033">
            <w:pPr>
              <w:spacing w:line="264" w:lineRule="exact"/>
              <w:ind w:left="-1" w:right="45"/>
              <w:rPr>
                <w:rFonts w:asciiTheme="minorHAnsi" w:hAnsiTheme="minorHAnsi" w:cstheme="minorHAnsi"/>
              </w:rPr>
            </w:pPr>
            <w:r w:rsidRPr="00B37341">
              <w:rPr>
                <w:rFonts w:asciiTheme="minorHAnsi" w:hAnsiTheme="minorHAnsi" w:cstheme="minorHAnsi"/>
              </w:rPr>
              <w:t>Adresa profilu verejného obstarávateľa /URL/:</w:t>
            </w:r>
          </w:p>
          <w:p w14:paraId="0F63F447" w14:textId="77777777" w:rsidR="00494033" w:rsidRPr="00B37341" w:rsidRDefault="00494033" w:rsidP="00494033">
            <w:pPr>
              <w:spacing w:line="264" w:lineRule="exact"/>
              <w:ind w:left="-1" w:right="45"/>
              <w:rPr>
                <w:rFonts w:asciiTheme="minorHAnsi" w:hAnsiTheme="minorHAnsi" w:cstheme="minorHAnsi"/>
              </w:rPr>
            </w:pPr>
          </w:p>
        </w:tc>
        <w:tc>
          <w:tcPr>
            <w:tcW w:w="6293" w:type="dxa"/>
          </w:tcPr>
          <w:p w14:paraId="089F10DA" w14:textId="77777777" w:rsidR="00494033" w:rsidRPr="00B37341" w:rsidRDefault="00494033" w:rsidP="00E61102">
            <w:pPr>
              <w:spacing w:line="264" w:lineRule="exact"/>
              <w:ind w:left="206" w:right="45"/>
              <w:rPr>
                <w:rFonts w:asciiTheme="minorHAnsi" w:hAnsiTheme="minorHAnsi" w:cstheme="minorHAnsi"/>
              </w:rPr>
            </w:pPr>
          </w:p>
          <w:p w14:paraId="5956327E" w14:textId="77777777" w:rsidR="00494033" w:rsidRPr="00B37341" w:rsidRDefault="00000000" w:rsidP="00E61102">
            <w:pPr>
              <w:spacing w:line="264" w:lineRule="exact"/>
              <w:ind w:left="206" w:right="45"/>
              <w:rPr>
                <w:rFonts w:asciiTheme="minorHAnsi" w:hAnsiTheme="minorHAnsi" w:cstheme="minorHAnsi"/>
              </w:rPr>
            </w:pPr>
            <w:hyperlink r:id="rId9" w:history="1">
              <w:r w:rsidR="00494033" w:rsidRPr="00B37341">
                <w:rPr>
                  <w:rStyle w:val="Hypertextovprepojenie"/>
                  <w:rFonts w:asciiTheme="minorHAnsi" w:hAnsiTheme="minorHAnsi" w:cstheme="minorHAnsi"/>
                </w:rPr>
                <w:t>https://www.uvo.gov.sk/vyhladavanie-profilov/zakazky/5963</w:t>
              </w:r>
            </w:hyperlink>
          </w:p>
          <w:p w14:paraId="5ADBE78F" w14:textId="77777777" w:rsidR="00494033" w:rsidRPr="00B37341" w:rsidRDefault="00494033" w:rsidP="00E61102">
            <w:pPr>
              <w:spacing w:line="264" w:lineRule="exact"/>
              <w:ind w:left="206" w:right="45"/>
              <w:rPr>
                <w:rFonts w:asciiTheme="minorHAnsi" w:hAnsiTheme="minorHAnsi" w:cstheme="minorHAnsi"/>
              </w:rPr>
            </w:pPr>
          </w:p>
        </w:tc>
      </w:tr>
    </w:tbl>
    <w:p w14:paraId="194A7F4E" w14:textId="77777777" w:rsidR="00494033" w:rsidRPr="00F574E4" w:rsidRDefault="00494033" w:rsidP="00494033">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16E5640A" w14:textId="18D92AC8" w:rsidR="00632BB4" w:rsidRPr="00632BB4" w:rsidRDefault="00632BB4">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pPr>
        <w:pStyle w:val="Odsekzoznamu"/>
        <w:numPr>
          <w:ilvl w:val="0"/>
          <w:numId w:val="5"/>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5017C0F5" w:rsidR="00C137C4" w:rsidRPr="00FE5255" w:rsidRDefault="00FA793F">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FE5255">
        <w:rPr>
          <w:rFonts w:asciiTheme="minorHAnsi" w:hAnsiTheme="minorHAnsi" w:cstheme="minorHAnsi"/>
          <w:i w:val="0"/>
          <w:color w:val="000000" w:themeColor="text1"/>
          <w:sz w:val="22"/>
          <w:szCs w:val="22"/>
        </w:rPr>
        <w:t>„</w:t>
      </w:r>
      <w:r w:rsidR="00FE5255" w:rsidRPr="00FE5255">
        <w:rPr>
          <w:rFonts w:asciiTheme="minorHAnsi" w:hAnsiTheme="minorHAnsi" w:cstheme="minorHAnsi"/>
          <w:sz w:val="22"/>
          <w:szCs w:val="22"/>
        </w:rPr>
        <w:t>Akčný plán pre zlepšenie podmienok cyklistickej infraštruktúry pomocou organizačných opatrení</w:t>
      </w:r>
      <w:r w:rsidR="00EB08F3">
        <w:rPr>
          <w:rFonts w:asciiTheme="minorHAnsi" w:hAnsiTheme="minorHAnsi" w:cstheme="minorHAnsi"/>
          <w:sz w:val="22"/>
          <w:szCs w:val="22"/>
        </w:rPr>
        <w:t>.</w:t>
      </w:r>
      <w:r w:rsidR="00C137C4" w:rsidRPr="00FE5255">
        <w:rPr>
          <w:rFonts w:asciiTheme="minorHAnsi" w:eastAsiaTheme="minorHAnsi" w:hAnsiTheme="minorHAnsi" w:cstheme="minorHAnsi"/>
          <w:i w:val="0"/>
          <w:sz w:val="22"/>
          <w:szCs w:val="22"/>
          <w:lang w:val="sk-SK" w:eastAsia="en-US"/>
        </w:rPr>
        <w:t>“</w:t>
      </w:r>
    </w:p>
    <w:p w14:paraId="01026FE6" w14:textId="77777777" w:rsidR="005D7EAE" w:rsidRPr="0067710C" w:rsidRDefault="00FA793F">
      <w:pPr>
        <w:pStyle w:val="Odsekzoznamu"/>
        <w:numPr>
          <w:ilvl w:val="1"/>
          <w:numId w:val="5"/>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pPr>
        <w:pStyle w:val="Odsekzoznamu"/>
        <w:numPr>
          <w:ilvl w:val="1"/>
          <w:numId w:val="5"/>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970740" w:rsidRDefault="00796CD4" w:rsidP="00413D56">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00CA7708" w:rsidRPr="00970740">
        <w:rPr>
          <w:rFonts w:asciiTheme="minorHAnsi" w:hAnsiTheme="minorHAnsi" w:cstheme="minorHAnsi"/>
          <w:sz w:val="22"/>
          <w:szCs w:val="22"/>
        </w:rPr>
        <w:t>45000000-7</w:t>
      </w:r>
    </w:p>
    <w:p w14:paraId="706B04C6" w14:textId="674366E9" w:rsidR="003907E3" w:rsidRPr="00FE5255" w:rsidRDefault="00970740" w:rsidP="00970740">
      <w:pPr>
        <w:widowControl/>
        <w:adjustRightInd w:val="0"/>
        <w:ind w:left="131" w:firstLine="720"/>
        <w:rPr>
          <w:rFonts w:asciiTheme="minorHAnsi" w:hAnsiTheme="minorHAnsi" w:cstheme="minorHAnsi"/>
          <w:b/>
          <w:bCs/>
        </w:rPr>
      </w:pPr>
      <w:r w:rsidRPr="00970740">
        <w:rPr>
          <w:rFonts w:asciiTheme="minorHAnsi" w:eastAsiaTheme="minorHAnsi" w:hAnsiTheme="minorHAnsi" w:cstheme="minorHAnsi"/>
          <w:b/>
          <w:bCs/>
          <w:lang w:val="sk-SK" w:eastAsia="en-US"/>
        </w:rPr>
        <w:t xml:space="preserve">Dodatočné kódy CPV: </w:t>
      </w:r>
      <w:r w:rsidR="00FE5255" w:rsidRPr="00FE5255">
        <w:rPr>
          <w:rFonts w:asciiTheme="minorHAnsi" w:eastAsiaTheme="minorHAnsi" w:hAnsiTheme="minorHAnsi" w:cstheme="minorHAnsi"/>
          <w:lang w:val="sk-SK" w:eastAsia="en-US"/>
        </w:rPr>
        <w:t>45233162-2</w:t>
      </w:r>
    </w:p>
    <w:p w14:paraId="0E90A712" w14:textId="77777777" w:rsidR="005D7EAE" w:rsidRPr="0031065E" w:rsidRDefault="00FA793F">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pPr>
        <w:pStyle w:val="Odsekzoznamu"/>
        <w:numPr>
          <w:ilvl w:val="1"/>
          <w:numId w:val="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2D954ECA" w:rsidR="00C137C4" w:rsidRPr="00494033" w:rsidRDefault="00FA793F">
      <w:pPr>
        <w:pStyle w:val="Odsekzoznamu"/>
        <w:numPr>
          <w:ilvl w:val="1"/>
          <w:numId w:val="5"/>
        </w:numPr>
        <w:spacing w:before="118"/>
        <w:ind w:hanging="576"/>
        <w:rPr>
          <w:rFonts w:asciiTheme="minorHAnsi" w:hAnsiTheme="minorHAnsi" w:cstheme="minorHAnsi"/>
          <w:b/>
          <w:bCs/>
          <w:i/>
          <w:iCs/>
        </w:rPr>
      </w:pPr>
      <w:r w:rsidRPr="00494033">
        <w:rPr>
          <w:rFonts w:asciiTheme="minorHAnsi" w:hAnsiTheme="minorHAnsi" w:cstheme="minorHAnsi"/>
        </w:rPr>
        <w:t>Miesto alebo miesta dodania predmetu zákazky:</w:t>
      </w:r>
      <w:r w:rsidRPr="00494033">
        <w:rPr>
          <w:rFonts w:asciiTheme="minorHAnsi" w:hAnsiTheme="minorHAnsi" w:cstheme="minorHAnsi"/>
          <w:spacing w:val="12"/>
        </w:rPr>
        <w:t xml:space="preserve"> </w:t>
      </w:r>
    </w:p>
    <w:p w14:paraId="53FC597F" w14:textId="7E92E6CC" w:rsidR="00494033" w:rsidRPr="00EB08F3" w:rsidRDefault="00FE5255" w:rsidP="00EB08F3">
      <w:pPr>
        <w:widowControl/>
        <w:adjustRightInd w:val="0"/>
        <w:ind w:left="876"/>
        <w:rPr>
          <w:rFonts w:asciiTheme="minorHAnsi" w:eastAsiaTheme="minorHAnsi" w:hAnsiTheme="minorHAnsi" w:cstheme="minorHAnsi"/>
          <w:lang w:val="sk-SK" w:eastAsia="en-US"/>
        </w:rPr>
      </w:pPr>
      <w:proofErr w:type="spellStart"/>
      <w:r w:rsidRPr="00EB08F3">
        <w:rPr>
          <w:rFonts w:asciiTheme="minorHAnsi" w:eastAsiaTheme="minorHAnsi" w:hAnsiTheme="minorHAnsi" w:cstheme="minorHAnsi"/>
          <w:lang w:val="sk-SK" w:eastAsia="en-US"/>
        </w:rPr>
        <w:t>k.ú</w:t>
      </w:r>
      <w:proofErr w:type="spellEnd"/>
      <w:r w:rsidRPr="00EB08F3">
        <w:rPr>
          <w:rFonts w:asciiTheme="minorHAnsi" w:eastAsiaTheme="minorHAnsi" w:hAnsiTheme="minorHAnsi" w:cstheme="minorHAnsi"/>
          <w:lang w:val="sk-SK" w:eastAsia="en-US"/>
        </w:rPr>
        <w:t xml:space="preserve"> Prešov</w:t>
      </w:r>
      <w:r w:rsidR="00EB08F3" w:rsidRPr="00EB08F3">
        <w:rPr>
          <w:rFonts w:asciiTheme="minorHAnsi" w:eastAsiaTheme="minorHAnsi" w:hAnsiTheme="minorHAnsi" w:cstheme="minorHAnsi"/>
          <w:lang w:val="sk-SK" w:eastAsia="en-US"/>
        </w:rPr>
        <w:t xml:space="preserve"> v jeho rôznych častiach - Sídlisko 2, Sídlisko 3, a ul. 17. novembra.</w:t>
      </w:r>
      <w:r w:rsidRPr="00EB08F3">
        <w:rPr>
          <w:rFonts w:asciiTheme="minorHAnsi" w:eastAsiaTheme="minorHAnsi" w:hAnsiTheme="minorHAnsi" w:cstheme="minorHAnsi"/>
          <w:lang w:val="sk-SK" w:eastAsia="en-US"/>
        </w:rPr>
        <w:t xml:space="preserve"> Podrobnejšie je miesto realizácie uvedené v sprievodnej správe v PD.</w:t>
      </w:r>
    </w:p>
    <w:p w14:paraId="31973884" w14:textId="77777777" w:rsidR="005652E5" w:rsidRPr="00494033" w:rsidRDefault="00FA793F">
      <w:pPr>
        <w:pStyle w:val="Odsekzoznamu"/>
        <w:numPr>
          <w:ilvl w:val="1"/>
          <w:numId w:val="5"/>
        </w:numPr>
        <w:tabs>
          <w:tab w:val="left" w:pos="876"/>
          <w:tab w:val="left" w:pos="877"/>
          <w:tab w:val="left" w:pos="5264"/>
        </w:tabs>
        <w:spacing w:before="1"/>
        <w:ind w:hanging="576"/>
        <w:rPr>
          <w:rFonts w:asciiTheme="minorHAnsi" w:hAnsiTheme="minorHAnsi" w:cstheme="minorHAnsi"/>
          <w:b/>
          <w:i/>
        </w:rPr>
      </w:pPr>
      <w:r w:rsidRPr="00494033">
        <w:rPr>
          <w:rFonts w:asciiTheme="minorHAnsi" w:hAnsiTheme="minorHAnsi" w:cstheme="minorHAnsi"/>
        </w:rPr>
        <w:t>Dĺžka trvania – lehota</w:t>
      </w:r>
      <w:r w:rsidRPr="00494033">
        <w:rPr>
          <w:rFonts w:asciiTheme="minorHAnsi" w:hAnsiTheme="minorHAnsi" w:cstheme="minorHAnsi"/>
          <w:spacing w:val="-8"/>
        </w:rPr>
        <w:t xml:space="preserve"> </w:t>
      </w:r>
      <w:r w:rsidRPr="00494033">
        <w:rPr>
          <w:rFonts w:asciiTheme="minorHAnsi" w:hAnsiTheme="minorHAnsi" w:cstheme="minorHAnsi"/>
        </w:rPr>
        <w:t>trvania</w:t>
      </w:r>
      <w:r w:rsidRPr="00494033">
        <w:rPr>
          <w:rFonts w:asciiTheme="minorHAnsi" w:hAnsiTheme="minorHAnsi" w:cstheme="minorHAnsi"/>
          <w:spacing w:val="-1"/>
        </w:rPr>
        <w:t xml:space="preserve"> </w:t>
      </w:r>
      <w:r w:rsidRPr="00494033">
        <w:rPr>
          <w:rFonts w:asciiTheme="minorHAnsi" w:hAnsiTheme="minorHAnsi" w:cstheme="minorHAnsi"/>
        </w:rPr>
        <w:t>Zmluvy:</w:t>
      </w:r>
      <w:r w:rsidRPr="00494033">
        <w:rPr>
          <w:rFonts w:asciiTheme="minorHAnsi" w:hAnsiTheme="minorHAnsi" w:cstheme="minorHAnsi"/>
        </w:rPr>
        <w:tab/>
      </w:r>
    </w:p>
    <w:p w14:paraId="6E34E1AE" w14:textId="6773B3FF" w:rsidR="005D7EAE" w:rsidRPr="00494033"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494033">
        <w:rPr>
          <w:rFonts w:asciiTheme="minorHAnsi" w:eastAsia="Times New Roman" w:hAnsiTheme="minorHAnsi" w:cstheme="minorHAnsi"/>
          <w:b/>
          <w:bCs/>
        </w:rPr>
        <w:t xml:space="preserve">do </w:t>
      </w:r>
      <w:r w:rsidR="00EB08F3">
        <w:rPr>
          <w:rFonts w:asciiTheme="minorHAnsi" w:eastAsia="Times New Roman" w:hAnsiTheme="minorHAnsi" w:cstheme="minorHAnsi"/>
          <w:b/>
          <w:bCs/>
        </w:rPr>
        <w:t xml:space="preserve">8 </w:t>
      </w:r>
      <w:r w:rsidRPr="00494033">
        <w:rPr>
          <w:rFonts w:asciiTheme="minorHAnsi" w:eastAsia="Times New Roman" w:hAnsiTheme="minorHAnsi" w:cstheme="minorHAnsi"/>
          <w:b/>
          <w:bCs/>
        </w:rPr>
        <w:t>mesiacov</w:t>
      </w:r>
      <w:r w:rsidRPr="00494033">
        <w:rPr>
          <w:rFonts w:asciiTheme="minorHAnsi" w:eastAsia="Times New Roman" w:hAnsiTheme="minorHAnsi" w:cstheme="minorHAnsi"/>
        </w:rPr>
        <w:t xml:space="preserve"> od </w:t>
      </w:r>
      <w:r w:rsidR="00977932" w:rsidRPr="00494033">
        <w:rPr>
          <w:rFonts w:asciiTheme="minorHAnsi" w:eastAsia="Times New Roman" w:hAnsiTheme="minorHAnsi" w:cstheme="minorHAnsi"/>
        </w:rPr>
        <w:t>odovzdania</w:t>
      </w:r>
      <w:r w:rsidRPr="00494033">
        <w:rPr>
          <w:rFonts w:asciiTheme="minorHAnsi" w:eastAsia="Times New Roman" w:hAnsiTheme="minorHAnsi" w:cstheme="minorHAnsi"/>
        </w:rPr>
        <w:t xml:space="preserve"> staveniska </w:t>
      </w:r>
    </w:p>
    <w:p w14:paraId="7DC2D1D5" w14:textId="1644DB6B" w:rsidR="005D7EAE" w:rsidRDefault="005D7EAE">
      <w:pPr>
        <w:pStyle w:val="Zkladntext"/>
        <w:spacing w:before="8"/>
        <w:rPr>
          <w:rFonts w:asciiTheme="minorHAnsi" w:hAnsiTheme="minorHAnsi" w:cstheme="minorHAnsi"/>
          <w:b/>
          <w:i/>
          <w:sz w:val="22"/>
          <w:szCs w:val="22"/>
        </w:rPr>
      </w:pPr>
    </w:p>
    <w:p w14:paraId="6AA24653" w14:textId="6E70CFAB" w:rsidR="006C1609" w:rsidRDefault="006C1609">
      <w:pPr>
        <w:pStyle w:val="Zkladntext"/>
        <w:spacing w:before="8"/>
        <w:rPr>
          <w:rFonts w:asciiTheme="minorHAnsi" w:hAnsiTheme="minorHAnsi" w:cstheme="minorHAnsi"/>
          <w:b/>
          <w:i/>
          <w:sz w:val="22"/>
          <w:szCs w:val="22"/>
        </w:rPr>
      </w:pPr>
    </w:p>
    <w:p w14:paraId="78DBB413" w14:textId="1F983EE8" w:rsidR="006C1609" w:rsidRDefault="006C1609">
      <w:pPr>
        <w:pStyle w:val="Zkladntext"/>
        <w:spacing w:before="8"/>
        <w:rPr>
          <w:rFonts w:asciiTheme="minorHAnsi" w:hAnsiTheme="minorHAnsi" w:cstheme="minorHAnsi"/>
          <w:b/>
          <w:i/>
          <w:sz w:val="22"/>
          <w:szCs w:val="22"/>
        </w:rPr>
      </w:pPr>
    </w:p>
    <w:p w14:paraId="2EB20374" w14:textId="77777777" w:rsidR="006C1609" w:rsidRPr="00F574E4" w:rsidRDefault="006C1609">
      <w:pPr>
        <w:pStyle w:val="Zkladntext"/>
        <w:spacing w:before="8"/>
        <w:rPr>
          <w:rFonts w:asciiTheme="minorHAnsi" w:hAnsiTheme="minorHAnsi" w:cstheme="minorHAnsi"/>
          <w:b/>
          <w:i/>
          <w:sz w:val="22"/>
          <w:szCs w:val="22"/>
        </w:rPr>
      </w:pPr>
    </w:p>
    <w:p w14:paraId="35F8E1E0" w14:textId="77777777" w:rsidR="005D7EAE" w:rsidRPr="00F574E4" w:rsidRDefault="00FA793F">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5FE8B33B" w:rsidR="009E2A67" w:rsidRPr="00BB27D6" w:rsidRDefault="00F46051" w:rsidP="00BB27D6">
      <w:pPr>
        <w:pStyle w:val="Odsekzoznamu"/>
        <w:numPr>
          <w:ilvl w:val="1"/>
          <w:numId w:val="5"/>
        </w:numPr>
        <w:tabs>
          <w:tab w:val="left" w:pos="877"/>
        </w:tabs>
        <w:spacing w:before="118"/>
        <w:ind w:right="117" w:hanging="576"/>
        <w:jc w:val="both"/>
        <w:rPr>
          <w:rFonts w:asciiTheme="minorHAnsi" w:hAnsiTheme="minorHAnsi" w:cstheme="minorHAnsi"/>
        </w:rPr>
      </w:pPr>
      <w:r w:rsidRPr="00A1403A">
        <w:rPr>
          <w:rFonts w:asciiTheme="minorHAnsi" w:eastAsiaTheme="minorHAnsi" w:hAnsiTheme="minorHAnsi" w:cstheme="minorHAnsi"/>
          <w:lang w:val="sk-SK" w:eastAsia="en-US"/>
        </w:rPr>
        <w:t xml:space="preserve">Predmet zákazky </w:t>
      </w:r>
      <w:r w:rsidRPr="00BB27D6">
        <w:rPr>
          <w:rFonts w:asciiTheme="minorHAnsi" w:eastAsiaTheme="minorHAnsi" w:hAnsiTheme="minorHAnsi" w:cstheme="minorHAnsi"/>
          <w:lang w:val="sk-SK" w:eastAsia="en-US"/>
        </w:rPr>
        <w:t xml:space="preserve">bude financovaný z </w:t>
      </w:r>
      <w:r w:rsidR="00A1403A" w:rsidRPr="00BB27D6">
        <w:rPr>
          <w:rFonts w:asciiTheme="minorHAnsi" w:eastAsiaTheme="minorHAnsi" w:hAnsiTheme="minorHAnsi" w:cstheme="minorHAnsi"/>
          <w:lang w:val="sk-SK" w:eastAsia="en-US"/>
        </w:rPr>
        <w:t xml:space="preserve">Integrovaného regionálneho operačného programu, </w:t>
      </w:r>
      <w:r w:rsidR="00BB27D6" w:rsidRPr="00BB27D6">
        <w:rPr>
          <w:rFonts w:asciiTheme="minorHAnsi" w:eastAsiaTheme="minorHAnsi" w:hAnsiTheme="minorHAnsi" w:cstheme="minorHAnsi"/>
          <w:lang w:val="sk-SK" w:eastAsia="en-US"/>
        </w:rPr>
        <w:t>Prioritná os: Bezpečná a ekologická doprava v</w:t>
      </w:r>
      <w:r w:rsidR="00BB27D6" w:rsidRPr="00BB27D6">
        <w:rPr>
          <w:rFonts w:asciiTheme="minorHAnsi" w:eastAsiaTheme="minorHAnsi" w:hAnsiTheme="minorHAnsi" w:cstheme="minorHAnsi"/>
          <w:lang w:val="sk-SK" w:eastAsia="en-US"/>
        </w:rPr>
        <w:t xml:space="preserve"> R</w:t>
      </w:r>
      <w:r w:rsidR="00BB27D6" w:rsidRPr="00BB27D6">
        <w:rPr>
          <w:rFonts w:asciiTheme="minorHAnsi" w:eastAsiaTheme="minorHAnsi" w:hAnsiTheme="minorHAnsi" w:cstheme="minorHAnsi"/>
          <w:lang w:val="sk-SK" w:eastAsia="en-US"/>
        </w:rPr>
        <w:t>egiónoch</w:t>
      </w:r>
      <w:r w:rsidR="00BB27D6" w:rsidRPr="00BB27D6">
        <w:rPr>
          <w:rFonts w:asciiTheme="minorHAnsi" w:eastAsiaTheme="minorHAnsi" w:hAnsiTheme="minorHAnsi" w:cstheme="minorHAnsi"/>
          <w:lang w:val="sk-SK" w:eastAsia="en-US"/>
        </w:rPr>
        <w:t xml:space="preserve"> </w:t>
      </w:r>
      <w:r w:rsidRPr="00BB27D6">
        <w:rPr>
          <w:rFonts w:asciiTheme="minorHAnsi" w:eastAsiaTheme="minorHAnsi" w:hAnsiTheme="minorHAnsi" w:cstheme="minorHAnsi"/>
          <w:lang w:val="sk-SK" w:eastAsia="en-US"/>
        </w:rPr>
        <w:t>a</w:t>
      </w:r>
      <w:r w:rsidR="00970740" w:rsidRPr="00BB27D6">
        <w:rPr>
          <w:rFonts w:asciiTheme="minorHAnsi" w:eastAsiaTheme="minorHAnsi" w:hAnsiTheme="minorHAnsi" w:cstheme="minorHAnsi"/>
          <w:lang w:val="sk-SK" w:eastAsia="en-US"/>
        </w:rPr>
        <w:t xml:space="preserve"> z </w:t>
      </w:r>
      <w:r w:rsidRPr="00BB27D6">
        <w:rPr>
          <w:rFonts w:asciiTheme="minorHAnsi" w:eastAsiaTheme="minorHAnsi" w:hAnsiTheme="minorHAnsi" w:cstheme="minorHAnsi"/>
          <w:lang w:val="sk-SK" w:eastAsia="en-US"/>
        </w:rPr>
        <w:t xml:space="preserve">rozpočtu mesta </w:t>
      </w:r>
      <w:r w:rsidR="00A1403A" w:rsidRPr="00BB27D6">
        <w:rPr>
          <w:rFonts w:asciiTheme="minorHAnsi" w:eastAsiaTheme="minorHAnsi" w:hAnsiTheme="minorHAnsi" w:cstheme="minorHAnsi"/>
          <w:lang w:val="sk-SK" w:eastAsia="en-US"/>
        </w:rPr>
        <w:t>Prešov</w:t>
      </w:r>
      <w:r w:rsidRPr="00BB27D6">
        <w:rPr>
          <w:rFonts w:asciiTheme="minorHAnsi" w:eastAsiaTheme="minorHAnsi" w:hAnsiTheme="minorHAnsi" w:cstheme="minorHAnsi"/>
          <w:lang w:val="sk-SK" w:eastAsia="en-US"/>
        </w:rPr>
        <w:t>.</w:t>
      </w:r>
      <w:r w:rsidRPr="00BB27D6">
        <w:rPr>
          <w:rFonts w:asciiTheme="minorHAnsi" w:hAnsiTheme="minorHAnsi" w:cstheme="minorHAnsi"/>
        </w:rPr>
        <w:t xml:space="preserve"> </w:t>
      </w:r>
      <w:r w:rsidR="00FA793F" w:rsidRPr="00BB27D6">
        <w:rPr>
          <w:rFonts w:asciiTheme="minorHAnsi" w:hAnsiTheme="minorHAnsi" w:cstheme="minorHAnsi"/>
        </w:rPr>
        <w:t xml:space="preserve">Verejný obstarávateľ určil v súlade s § 6 ZVO predpokladanú hodnotu zákazky spolu vo výške </w:t>
      </w:r>
      <w:r w:rsidR="00FC6EDB" w:rsidRPr="00BB27D6">
        <w:rPr>
          <w:rFonts w:asciiTheme="minorHAnsi" w:eastAsiaTheme="minorHAnsi" w:hAnsiTheme="minorHAnsi" w:cstheme="minorHAnsi"/>
          <w:b/>
          <w:bCs/>
          <w:lang w:val="sk-SK" w:eastAsia="en-US"/>
        </w:rPr>
        <w:t>618 014,15</w:t>
      </w:r>
      <w:r w:rsidR="00FC6EDB" w:rsidRPr="00BB27D6">
        <w:rPr>
          <w:rFonts w:asciiTheme="minorHAnsi" w:eastAsiaTheme="minorHAnsi" w:hAnsiTheme="minorHAnsi" w:cstheme="minorHAnsi"/>
          <w:lang w:val="sk-SK" w:eastAsia="en-US"/>
        </w:rPr>
        <w:t xml:space="preserve"> </w:t>
      </w:r>
      <w:r w:rsidR="00FA793F" w:rsidRPr="00BB27D6">
        <w:rPr>
          <w:rFonts w:asciiTheme="minorHAnsi" w:hAnsiTheme="minorHAnsi" w:cstheme="minorHAnsi"/>
          <w:b/>
        </w:rPr>
        <w:t xml:space="preserve">€ bez DPH </w:t>
      </w:r>
      <w:r w:rsidR="00FA793F" w:rsidRPr="00BB27D6">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5C51504B" w14:textId="447F94A5" w:rsidR="003E7AB4" w:rsidRPr="003E7AB4" w:rsidRDefault="00FA793F">
      <w:pPr>
        <w:pStyle w:val="Odsekzoznamu"/>
        <w:numPr>
          <w:ilvl w:val="1"/>
          <w:numId w:val="5"/>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 xml:space="preserve">S úspešným uchádzačom bude uzatvorená Zmluva o dielo podľa § 536 a </w:t>
      </w:r>
      <w:proofErr w:type="spellStart"/>
      <w:r w:rsidRPr="003E7AB4">
        <w:rPr>
          <w:rFonts w:asciiTheme="minorHAnsi" w:hAnsiTheme="minorHAnsi" w:cstheme="minorHAnsi"/>
        </w:rPr>
        <w:t>nasl</w:t>
      </w:r>
      <w:proofErr w:type="spellEnd"/>
      <w:r w:rsidRPr="003E7AB4">
        <w:rPr>
          <w:rFonts w:asciiTheme="minorHAnsi" w:hAnsiTheme="minorHAnsi" w:cstheme="minorHAnsi"/>
        </w:rPr>
        <w:t>.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2B337E2E" w14:textId="552EF459" w:rsidR="005D7EAE" w:rsidRPr="003E7AB4" w:rsidRDefault="00FA793F">
      <w:pPr>
        <w:pStyle w:val="Odsekzoznamu"/>
        <w:numPr>
          <w:ilvl w:val="1"/>
          <w:numId w:val="5"/>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3E7AB4">
        <w:rPr>
          <w:rFonts w:asciiTheme="minorHAnsi" w:hAnsiTheme="minorHAnsi" w:cstheme="minorHAnsi"/>
        </w:rPr>
        <w:t>t.j</w:t>
      </w:r>
      <w:proofErr w:type="spellEnd"/>
      <w:r w:rsidRPr="003E7AB4">
        <w:rPr>
          <w:rFonts w:asciiTheme="minorHAnsi" w:hAnsiTheme="minorHAnsi" w:cstheme="minorHAnsi"/>
        </w:rPr>
        <w:t>. návrh Zmluvy o dielo, ktorá má byť výsledkom verejného obstarávania.</w:t>
      </w:r>
    </w:p>
    <w:p w14:paraId="717C782F" w14:textId="77777777" w:rsidR="005D7EAE" w:rsidRPr="003E7AB4" w:rsidRDefault="005D7EAE">
      <w:pPr>
        <w:pStyle w:val="Zkladntext"/>
        <w:spacing w:before="7"/>
        <w:rPr>
          <w:rFonts w:asciiTheme="minorHAnsi" w:hAnsiTheme="minorHAnsi" w:cstheme="minorHAnsi"/>
          <w:sz w:val="22"/>
          <w:szCs w:val="22"/>
        </w:rPr>
      </w:pPr>
    </w:p>
    <w:p w14:paraId="4F1B9C3C" w14:textId="77777777" w:rsidR="005D7EAE" w:rsidRPr="00F574E4" w:rsidRDefault="00FA793F">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DFE97AC" w:rsidR="005D7EAE" w:rsidRPr="00F574E4" w:rsidRDefault="00FA793F">
      <w:pPr>
        <w:pStyle w:val="Odsekzoznamu"/>
        <w:numPr>
          <w:ilvl w:val="1"/>
          <w:numId w:val="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00FC6EDB" w:rsidRPr="00FC6EDB">
        <w:rPr>
          <w:rFonts w:ascii="Tahoma" w:eastAsiaTheme="minorHAnsi" w:hAnsi="Tahoma" w:cs="Tahoma"/>
          <w:sz w:val="18"/>
          <w:szCs w:val="18"/>
          <w:lang w:val="sk-SK" w:eastAsia="en-US"/>
        </w:rPr>
        <w:t xml:space="preserve"> </w:t>
      </w:r>
      <w:r w:rsidR="00583F00" w:rsidRPr="00C044D9">
        <w:rPr>
          <w:rFonts w:asciiTheme="minorHAnsi" w:hAnsiTheme="minorHAnsi" w:cstheme="minorHAnsi"/>
          <w:b/>
          <w:highlight w:val="yellow"/>
        </w:rPr>
        <w:t>3</w:t>
      </w:r>
      <w:r w:rsidR="00FC6EDB">
        <w:rPr>
          <w:rFonts w:asciiTheme="minorHAnsi" w:hAnsiTheme="minorHAnsi" w:cstheme="minorHAnsi"/>
          <w:b/>
          <w:highlight w:val="yellow"/>
        </w:rPr>
        <w:t>0</w:t>
      </w:r>
      <w:r w:rsidR="00583F00" w:rsidRPr="00C044D9">
        <w:rPr>
          <w:rFonts w:asciiTheme="minorHAnsi" w:hAnsiTheme="minorHAnsi" w:cstheme="minorHAnsi"/>
          <w:b/>
          <w:highlight w:val="yellow"/>
        </w:rPr>
        <w:t>/</w:t>
      </w:r>
      <w:r w:rsidR="00FC6EDB">
        <w:rPr>
          <w:rFonts w:asciiTheme="minorHAnsi" w:hAnsiTheme="minorHAnsi" w:cstheme="minorHAnsi"/>
          <w:b/>
          <w:highlight w:val="yellow"/>
        </w:rPr>
        <w:t>06</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FC6EDB">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309EB7E"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E9C3177"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9228344"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JOSEPHINE je na účely tohto verejného obstarávania softvér na elektronizáciu zadávania verejných zákaziek. JOSEPHINE je webová aplikácia na doméne https://josephine.proebiz.com.</w:t>
      </w:r>
    </w:p>
    <w:p w14:paraId="0C1283CD"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Na bezproblémové používanie systému JOSEPHINE je nutné používať jeden z podporovaných internetových prehliadačov:</w:t>
      </w:r>
    </w:p>
    <w:p w14:paraId="3D56F683" w14:textId="77777777" w:rsidR="00FC6EDB" w:rsidRPr="002E5BCC" w:rsidRDefault="00FC6EDB" w:rsidP="00FC6EDB">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w:t>
      </w:r>
      <w:proofErr w:type="spellStart"/>
      <w:r w:rsidRPr="002E5BCC">
        <w:rPr>
          <w:rFonts w:asciiTheme="minorHAnsi" w:hAnsiTheme="minorHAnsi" w:cstheme="minorHAnsi"/>
          <w:color w:val="000000" w:themeColor="text1"/>
          <w:sz w:val="22"/>
          <w:szCs w:val="22"/>
        </w:rPr>
        <w:t>Mozilla</w:t>
      </w:r>
      <w:proofErr w:type="spellEnd"/>
      <w:r w:rsidRPr="002E5BCC">
        <w:rPr>
          <w:rFonts w:asciiTheme="minorHAnsi" w:hAnsiTheme="minorHAnsi" w:cstheme="minorHAnsi"/>
          <w:color w:val="000000" w:themeColor="text1"/>
          <w:sz w:val="22"/>
          <w:szCs w:val="22"/>
        </w:rPr>
        <w:t xml:space="preserve"> Firefox verzia 13.0 a vyššia</w:t>
      </w:r>
    </w:p>
    <w:p w14:paraId="4C3BCB6B" w14:textId="77777777" w:rsidR="00FC6EDB" w:rsidRPr="002E5BCC" w:rsidRDefault="00FC6EDB" w:rsidP="00FC6EDB">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Google Chrome</w:t>
      </w:r>
    </w:p>
    <w:p w14:paraId="2CF79AD1" w14:textId="77777777" w:rsidR="00FC6EDB" w:rsidRPr="002E5BCC" w:rsidRDefault="00FC6EDB" w:rsidP="00FC6EDB">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Microsoft </w:t>
      </w:r>
      <w:proofErr w:type="spellStart"/>
      <w:r w:rsidRPr="002E5BCC">
        <w:rPr>
          <w:rFonts w:asciiTheme="minorHAnsi" w:hAnsiTheme="minorHAnsi" w:cstheme="minorHAnsi"/>
          <w:color w:val="000000" w:themeColor="text1"/>
          <w:sz w:val="22"/>
          <w:szCs w:val="22"/>
        </w:rPr>
        <w:t>Edge</w:t>
      </w:r>
      <w:proofErr w:type="spellEnd"/>
      <w:r w:rsidRPr="002E5BCC">
        <w:rPr>
          <w:rFonts w:asciiTheme="minorHAnsi" w:hAnsiTheme="minorHAnsi" w:cstheme="minorHAnsi"/>
          <w:color w:val="000000" w:themeColor="text1"/>
          <w:sz w:val="22"/>
          <w:szCs w:val="22"/>
        </w:rPr>
        <w:t>.</w:t>
      </w:r>
    </w:p>
    <w:p w14:paraId="31FB20B0"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A21D4D6" w14:textId="77777777" w:rsidR="00FC6EDB"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EEEC180"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8822856"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452471A" w14:textId="77777777" w:rsidR="00FC6EDB"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37EA4D0" w14:textId="77777777" w:rsidR="00FC6EDB" w:rsidRPr="002E5BCC" w:rsidRDefault="00FC6EDB">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zákona o verejnom obstarávaní.</w:t>
      </w:r>
    </w:p>
    <w:p w14:paraId="7C85767B" w14:textId="77777777" w:rsidR="00FC6EDB" w:rsidRPr="002E5BCC" w:rsidRDefault="00FC6EDB">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3F9B30BB" w14:textId="3D4423E1" w:rsidR="00FC6EDB" w:rsidRPr="00FC6EDB" w:rsidRDefault="00FC6EDB"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FC6EDB">
        <w:rPr>
          <w:rFonts w:asciiTheme="minorHAnsi" w:eastAsiaTheme="minorHAnsi" w:hAnsiTheme="minorHAnsi" w:cstheme="minorHAnsi"/>
          <w:b/>
          <w:bCs/>
          <w:sz w:val="22"/>
          <w:szCs w:val="22"/>
          <w:lang w:eastAsia="en-US"/>
        </w:rPr>
        <w:fldChar w:fldCharType="begin"/>
      </w:r>
      <w:r w:rsidRPr="00FC6EDB">
        <w:rPr>
          <w:rFonts w:asciiTheme="minorHAnsi" w:eastAsiaTheme="minorHAnsi" w:hAnsiTheme="minorHAnsi" w:cstheme="minorHAnsi"/>
          <w:b/>
          <w:bCs/>
          <w:sz w:val="22"/>
          <w:szCs w:val="22"/>
          <w:lang w:eastAsia="en-US"/>
        </w:rPr>
        <w:instrText xml:space="preserve"> HYPERLINK "https://josephine.proebiz.com/sk/tender/36125/summary" </w:instrText>
      </w:r>
      <w:r w:rsidRPr="00FC6EDB">
        <w:rPr>
          <w:rFonts w:asciiTheme="minorHAnsi" w:eastAsiaTheme="minorHAnsi" w:hAnsiTheme="minorHAnsi" w:cstheme="minorHAnsi"/>
          <w:b/>
          <w:bCs/>
          <w:sz w:val="22"/>
          <w:szCs w:val="22"/>
          <w:lang w:eastAsia="en-US"/>
        </w:rPr>
      </w:r>
      <w:r w:rsidRPr="00FC6EDB">
        <w:rPr>
          <w:rFonts w:asciiTheme="minorHAnsi" w:eastAsiaTheme="minorHAnsi" w:hAnsiTheme="minorHAnsi" w:cstheme="minorHAnsi"/>
          <w:b/>
          <w:bCs/>
          <w:sz w:val="22"/>
          <w:szCs w:val="22"/>
          <w:lang w:eastAsia="en-US"/>
        </w:rPr>
        <w:fldChar w:fldCharType="separate"/>
      </w:r>
      <w:r w:rsidRPr="00FC6EDB">
        <w:rPr>
          <w:rStyle w:val="Hypertextovprepojenie"/>
          <w:rFonts w:asciiTheme="minorHAnsi" w:eastAsiaTheme="minorHAnsi" w:hAnsiTheme="minorHAnsi" w:cstheme="minorHAnsi"/>
          <w:b/>
          <w:bCs/>
          <w:sz w:val="22"/>
          <w:szCs w:val="22"/>
          <w:lang w:eastAsia="en-US"/>
        </w:rPr>
        <w:t>https://josephine.proebiz.com/sk/tender/36125/summary</w:t>
      </w:r>
      <w:r w:rsidRPr="00FC6EDB">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3E9DC4E" w:rsidR="00DD063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131B3E3C" w14:textId="2FEF49C2" w:rsidR="00FC6EDB" w:rsidRPr="00FC6EDB" w:rsidRDefault="00000000" w:rsidP="00FC6EDB">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FC6EDB" w:rsidRPr="00FC6EDB">
          <w:rPr>
            <w:rStyle w:val="Hypertextovprepojenie"/>
            <w:rFonts w:asciiTheme="minorHAnsi" w:eastAsiaTheme="minorHAnsi" w:hAnsiTheme="minorHAnsi" w:cstheme="minorHAnsi"/>
            <w:b/>
            <w:bCs/>
            <w:sz w:val="22"/>
            <w:szCs w:val="22"/>
            <w:lang w:eastAsia="en-US"/>
          </w:rPr>
          <w:t>https://josephine.proebiz.com/sk/tender/36125/summary</w:t>
        </w:r>
      </w:hyperlink>
    </w:p>
    <w:p w14:paraId="63325555" w14:textId="77777777" w:rsidR="00ED46E0" w:rsidRPr="00ED46E0" w:rsidRDefault="00ED46E0">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pPr>
        <w:pStyle w:val="Odsekzoznamu"/>
        <w:numPr>
          <w:ilvl w:val="1"/>
          <w:numId w:val="5"/>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0C34FAEA" w14:textId="77777777" w:rsidR="006D3355" w:rsidRPr="00036D38" w:rsidRDefault="006D3355">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036D38">
        <w:rPr>
          <w:rFonts w:ascii="Calibri" w:hAnsi="Calibri" w:cs="Calibri"/>
          <w:sz w:val="22"/>
          <w:szCs w:val="22"/>
        </w:rPr>
        <w:t>Uchádzač má možnosť sa registrovať do systému JOSEPHINE pomocou hesla alebo aj pomocou občianskeho preukazom s elektronickým čipom a bezpečnostným osobnostným kódom (</w:t>
      </w:r>
      <w:proofErr w:type="spellStart"/>
      <w:r w:rsidRPr="00036D38">
        <w:rPr>
          <w:rFonts w:ascii="Calibri" w:hAnsi="Calibri" w:cs="Calibri"/>
          <w:sz w:val="22"/>
          <w:szCs w:val="22"/>
        </w:rPr>
        <w:t>eID</w:t>
      </w:r>
      <w:proofErr w:type="spellEnd"/>
      <w:r w:rsidRPr="00036D38">
        <w:rPr>
          <w:rFonts w:ascii="Calibri" w:hAnsi="Calibri" w:cs="Calibri"/>
          <w:sz w:val="22"/>
          <w:szCs w:val="22"/>
        </w:rPr>
        <w:t>) .</w:t>
      </w:r>
    </w:p>
    <w:p w14:paraId="678AA2B2" w14:textId="77777777" w:rsidR="006D3355" w:rsidRPr="002E5BCC" w:rsidRDefault="006D3355">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Predkladanie ponúk je umožnené iba autentifikovaným uchádzačom. Autentifikáciu je možné vykonať týmito spôsobmi </w:t>
      </w:r>
    </w:p>
    <w:p w14:paraId="4C906FA3" w14:textId="77777777" w:rsidR="006D3355" w:rsidRPr="002E5BCC" w:rsidRDefault="006D3355" w:rsidP="006D3355">
      <w:pPr>
        <w:pStyle w:val="Odsekzoznamu"/>
        <w:tabs>
          <w:tab w:val="num" w:pos="284"/>
        </w:tabs>
        <w:spacing w:after="120"/>
        <w:ind w:left="993" w:hanging="284"/>
        <w:jc w:val="both"/>
        <w:rPr>
          <w:rFonts w:ascii="Calibri" w:hAnsi="Calibri" w:cs="Calibri"/>
        </w:rPr>
      </w:pPr>
      <w:r w:rsidRPr="002E5BCC">
        <w:rPr>
          <w:rFonts w:ascii="Calibri" w:hAnsi="Calibri" w:cs="Calibri"/>
        </w:rPr>
        <w:t>a)</w:t>
      </w:r>
      <w:r w:rsidRPr="002E5BCC">
        <w:rPr>
          <w:rFonts w:ascii="Calibri" w:hAnsi="Calibri" w:cs="Calibri"/>
        </w:rPr>
        <w:tab/>
        <w:t>v systéme JOSEPHINE registráciou a prihlásením pomocou občianskeho preukazu s elektronickým čipom a bezpečnostným osobnostným kódom (</w:t>
      </w:r>
      <w:proofErr w:type="spellStart"/>
      <w:r w:rsidRPr="002E5BCC">
        <w:rPr>
          <w:rFonts w:ascii="Calibri" w:hAnsi="Calibri" w:cs="Calibri"/>
        </w:rPr>
        <w:t>eID</w:t>
      </w:r>
      <w:proofErr w:type="spellEnd"/>
      <w:r w:rsidRPr="002E5BCC">
        <w:rPr>
          <w:rFonts w:ascii="Calibri" w:hAnsi="Calibri" w:cs="Calibri"/>
        </w:rPr>
        <w:t xml:space="preserve">). V systéme je autentifikovaná spoločnosť, ktorú pomocou </w:t>
      </w:r>
      <w:proofErr w:type="spellStart"/>
      <w:r w:rsidRPr="002E5BCC">
        <w:rPr>
          <w:rFonts w:ascii="Calibri" w:hAnsi="Calibri" w:cs="Calibri"/>
        </w:rPr>
        <w:t>eID</w:t>
      </w:r>
      <w:proofErr w:type="spellEnd"/>
      <w:r w:rsidRPr="002E5BCC">
        <w:rPr>
          <w:rFonts w:ascii="Calibri" w:hAnsi="Calibri" w:cs="Calibri"/>
        </w:rPr>
        <w:t xml:space="preserve"> registruje štatutár danej spoločnosti. Autentifikáciu vykonáva poskytovateľ systému JOSEPHINE a to v pracovných dňoch v čase 8.00 – 16.00 hod. O dokončení autentifikácie je uchádzač informovaný e-mailom. </w:t>
      </w:r>
    </w:p>
    <w:p w14:paraId="5C17AC69" w14:textId="77777777" w:rsidR="006D3355" w:rsidRPr="002E5BCC" w:rsidRDefault="006D3355" w:rsidP="006D3355">
      <w:pPr>
        <w:pStyle w:val="Odsekzoznamu"/>
        <w:tabs>
          <w:tab w:val="num" w:pos="284"/>
        </w:tabs>
        <w:spacing w:after="120"/>
        <w:ind w:left="993" w:hanging="284"/>
        <w:jc w:val="both"/>
        <w:rPr>
          <w:rFonts w:ascii="Calibri" w:hAnsi="Calibri" w:cs="Calibri"/>
        </w:rPr>
      </w:pPr>
      <w:r w:rsidRPr="002E5BCC">
        <w:rPr>
          <w:rFonts w:ascii="Calibri" w:hAnsi="Calibri"/>
        </w:rPr>
        <w:t xml:space="preserve">b) </w:t>
      </w:r>
      <w:r w:rsidRPr="002E5BCC">
        <w:rPr>
          <w:rFonts w:ascii="Calibri" w:hAnsi="Calibri"/>
        </w:rPr>
        <w:tab/>
        <w:t xml:space="preserve">nahraním kvalifikovaného elektronického podpisu (napríklad podpisu </w:t>
      </w:r>
      <w:proofErr w:type="spellStart"/>
      <w:r w:rsidRPr="002E5BCC">
        <w:rPr>
          <w:rFonts w:ascii="Calibri" w:hAnsi="Calibri"/>
        </w:rPr>
        <w:t>eID</w:t>
      </w:r>
      <w:proofErr w:type="spellEnd"/>
      <w:r w:rsidRPr="002E5BCC">
        <w:rPr>
          <w:rFonts w:ascii="Calibri" w:hAnsi="Calibri"/>
        </w:rPr>
        <w:t xml:space="preserve">) štatutára danej spoločnosti na kartu užívateľa po registrácii a prihlásení do systému JOSEPHINE. Autentifikáciu vykoná poskytovateľ systému JOSEPHINE a to v pracovných dňoch v čase 8.00 – 16.00 hod. </w:t>
      </w:r>
      <w:r w:rsidRPr="002E5BCC">
        <w:rPr>
          <w:rFonts w:ascii="Calibri" w:hAnsi="Calibri" w:cs="Calibri"/>
        </w:rPr>
        <w:t>O dokončení autentifikácie je uchádzač informovaný e-mailom.</w:t>
      </w:r>
    </w:p>
    <w:p w14:paraId="133E1D13" w14:textId="77777777" w:rsidR="006D3355" w:rsidRPr="002E5BCC" w:rsidRDefault="006D3355" w:rsidP="006D3355">
      <w:pPr>
        <w:pStyle w:val="Odsekzoznamu"/>
        <w:tabs>
          <w:tab w:val="num" w:pos="284"/>
        </w:tabs>
        <w:spacing w:after="120"/>
        <w:ind w:left="993" w:hanging="284"/>
        <w:jc w:val="both"/>
        <w:rPr>
          <w:rFonts w:ascii="Calibri" w:hAnsi="Calibri"/>
        </w:rPr>
      </w:pPr>
      <w:r w:rsidRPr="002E5BCC">
        <w:rPr>
          <w:rFonts w:ascii="Calibri" w:hAnsi="Calibri" w:cs="Calibri"/>
        </w:rPr>
        <w:t xml:space="preserve">c) </w:t>
      </w:r>
      <w:r w:rsidRPr="002E5BCC">
        <w:rPr>
          <w:rFonts w:ascii="Calibri" w:hAnsi="Calibri" w:cs="Calibri"/>
        </w:rPr>
        <w:tab/>
        <w:t xml:space="preserve">vložením dokumentu preukazujúceho osobu štatutára na kartu užívateľa po registrácii, ktorý je podpísaný elektronickým podpisom štatutára, alebo prešiel zaručenou konverziou. </w:t>
      </w:r>
      <w:r w:rsidRPr="002E5BCC">
        <w:rPr>
          <w:rFonts w:ascii="Calibri" w:hAnsi="Calibri"/>
        </w:rPr>
        <w:t xml:space="preserve">Autentifikáciu vykoná poskytovateľ systému JOSEPHINE a to v pracovných dňoch v čase 8.00 – 16.00 hod. </w:t>
      </w:r>
      <w:r w:rsidRPr="002E5BCC">
        <w:rPr>
          <w:rFonts w:ascii="Calibri" w:hAnsi="Calibri" w:cs="Calibri"/>
        </w:rPr>
        <w:t>O dokončení autentifikácie je uchádzač informovaný e-mailom.</w:t>
      </w:r>
    </w:p>
    <w:p w14:paraId="50EE2F14" w14:textId="77777777" w:rsidR="006D3355" w:rsidRDefault="006D3355" w:rsidP="006D3355">
      <w:pPr>
        <w:pStyle w:val="Odsekzoznamu"/>
        <w:tabs>
          <w:tab w:val="num" w:pos="284"/>
        </w:tabs>
        <w:spacing w:after="120"/>
        <w:ind w:left="993" w:hanging="284"/>
        <w:jc w:val="both"/>
        <w:rPr>
          <w:rFonts w:ascii="Calibri" w:hAnsi="Calibri" w:cs="Calibri"/>
        </w:rPr>
      </w:pPr>
      <w:r w:rsidRPr="002E5BCC">
        <w:rPr>
          <w:rFonts w:ascii="Calibri" w:hAnsi="Calibri"/>
        </w:rPr>
        <w:t xml:space="preserve">d) </w:t>
      </w:r>
      <w:r w:rsidRPr="002E5BCC">
        <w:rPr>
          <w:rFonts w:ascii="Calibri" w:hAnsi="Calibri"/>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E5BCC">
        <w:rPr>
          <w:rFonts w:ascii="Calibri" w:hAnsi="Calibri" w:cs="Calibri"/>
        </w:rPr>
        <w:t xml:space="preserve">O dokončení autentifikácie je uchádzač informovaný e-mailom. </w:t>
      </w:r>
    </w:p>
    <w:p w14:paraId="5C90EF8D" w14:textId="77777777" w:rsidR="006D3355" w:rsidRPr="00036D38" w:rsidRDefault="006D3355" w:rsidP="006D3355">
      <w:pPr>
        <w:pStyle w:val="Odsekzoznamu"/>
        <w:tabs>
          <w:tab w:val="num" w:pos="284"/>
        </w:tabs>
        <w:spacing w:after="120"/>
        <w:ind w:left="993" w:hanging="284"/>
        <w:jc w:val="both"/>
        <w:rPr>
          <w:rFonts w:ascii="Calibri" w:hAnsi="Calibri" w:cs="Calibri"/>
          <w:b/>
          <w:bCs/>
        </w:rPr>
      </w:pPr>
      <w:r>
        <w:rPr>
          <w:rFonts w:ascii="Calibri" w:hAnsi="Calibri" w:cs="Calibri"/>
        </w:rPr>
        <w:t xml:space="preserve">e) </w:t>
      </w:r>
      <w:r w:rsidRPr="00036D38">
        <w:rPr>
          <w:rFonts w:asciiTheme="minorHAnsi" w:hAnsiTheme="minorHAnsi" w:cstheme="minorHAnsi"/>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3E26D9">
        <w:rPr>
          <w:rFonts w:asciiTheme="minorHAnsi" w:hAnsiTheme="minorHAnsi" w:cstheme="minorHAnsi"/>
          <w:i/>
          <w:iCs/>
        </w:rPr>
        <w:t xml:space="preserve">(UPOZORNENIE: </w:t>
      </w:r>
      <w:r w:rsidRPr="003E26D9">
        <w:rPr>
          <w:rFonts w:asciiTheme="minorHAnsi" w:hAnsiTheme="minorHAnsi" w:cstheme="minorHAnsi"/>
          <w:i/>
          <w:iCs/>
          <w:color w:val="000000"/>
        </w:rPr>
        <w:t xml:space="preserve">Od 1. 1. 2023 bude bod e) odstránený a </w:t>
      </w:r>
      <w:r w:rsidRPr="003E26D9">
        <w:rPr>
          <w:rStyle w:val="Vrazn"/>
          <w:rFonts w:asciiTheme="minorHAnsi" w:hAnsiTheme="minorHAnsi" w:cstheme="minorHAnsi"/>
          <w:b w:val="0"/>
          <w:bCs w:val="0"/>
          <w:i/>
          <w:iCs/>
          <w:color w:val="000000"/>
        </w:rPr>
        <w:t>už sa nebude odosielať autentifikačný kód poštou účastníkovi do rúk štatutára</w:t>
      </w:r>
      <w:r w:rsidRPr="003E26D9">
        <w:rPr>
          <w:rFonts w:asciiTheme="minorHAnsi" w:hAnsiTheme="minorHAnsi" w:cstheme="minorHAnsi"/>
          <w:i/>
          <w:iCs/>
          <w:color w:val="000000"/>
        </w:rPr>
        <w:t>)</w:t>
      </w:r>
      <w:r>
        <w:rPr>
          <w:rFonts w:asciiTheme="minorHAnsi" w:hAnsiTheme="minorHAnsi" w:cstheme="minorHAnsi"/>
          <w:i/>
          <w:iCs/>
          <w:color w:val="000000"/>
        </w:rPr>
        <w:t>.</w:t>
      </w:r>
    </w:p>
    <w:p w14:paraId="3F42D388" w14:textId="77777777" w:rsidR="006D3355" w:rsidRPr="002E5BCC" w:rsidRDefault="006D3355">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1B9E40C" w14:textId="77777777" w:rsidR="006D3355" w:rsidRPr="00717AA2" w:rsidRDefault="006D3355">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36E5974" w14:textId="77777777" w:rsidR="006D3355" w:rsidRPr="00717AA2" w:rsidRDefault="006D3355">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4B6AA0B7" w14:textId="77777777" w:rsidR="006D3355" w:rsidRPr="00ED1BE3" w:rsidRDefault="006D3355">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19468625" w14:textId="5ED62453" w:rsidR="009C72CE" w:rsidRPr="00D77B10" w:rsidRDefault="00B05989">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63BA3DF1" w14:textId="563000E7" w:rsidR="003B3F31" w:rsidRPr="003B3F31" w:rsidRDefault="003B3F31" w:rsidP="008012D2">
      <w:pPr>
        <w:ind w:left="866"/>
        <w:jc w:val="both"/>
        <w:outlineLvl w:val="0"/>
        <w:rPr>
          <w:rFonts w:asciiTheme="minorHAnsi" w:hAnsiTheme="minorHAnsi" w:cstheme="minorHAnsi"/>
          <w:b/>
          <w:bCs/>
        </w:rPr>
      </w:pPr>
      <w:r w:rsidRPr="0067710C">
        <w:rPr>
          <w:rFonts w:asciiTheme="minorHAnsi" w:hAnsiTheme="minorHAnsi" w:cstheme="minorHAnsi"/>
        </w:rPr>
        <w:t xml:space="preserve">názov súťaže: </w:t>
      </w:r>
      <w:r w:rsidRPr="002A1C88">
        <w:rPr>
          <w:rFonts w:asciiTheme="minorHAnsi" w:hAnsiTheme="minorHAnsi" w:cstheme="minorHAnsi"/>
          <w:b/>
          <w:bCs/>
          <w:i/>
          <w:iCs/>
        </w:rPr>
        <w:t>„</w:t>
      </w:r>
      <w:r w:rsidR="008012D2" w:rsidRPr="008012D2">
        <w:rPr>
          <w:rFonts w:asciiTheme="minorHAnsi" w:hAnsiTheme="minorHAnsi" w:cstheme="minorHAnsi"/>
          <w:b/>
        </w:rPr>
        <w:t>Akčný plán pre zlepšenie podmienok cyklistickej infraštruktúry pomocou organizačných opatrení</w:t>
      </w:r>
      <w:r w:rsidR="006D3355">
        <w:rPr>
          <w:rFonts w:asciiTheme="minorHAnsi" w:hAnsiTheme="minorHAnsi" w:cstheme="minorHAnsi"/>
          <w:b/>
        </w:rPr>
        <w:t>.</w:t>
      </w:r>
      <w:r w:rsidRPr="008012D2">
        <w:rPr>
          <w:rFonts w:asciiTheme="minorHAnsi" w:hAnsiTheme="minorHAnsi" w:cstheme="minorHAnsi"/>
          <w:b/>
          <w:bCs/>
          <w:i/>
          <w:iCs/>
          <w:color w:val="000000" w:themeColor="text1"/>
        </w:rPr>
        <w:t xml:space="preserve">“ </w:t>
      </w:r>
      <w:r w:rsidRPr="008012D2">
        <w:rPr>
          <w:rFonts w:asciiTheme="minorHAnsi" w:hAnsiTheme="minorHAnsi" w:cstheme="minorHAnsi"/>
          <w:color w:val="000000" w:themeColor="text1"/>
        </w:rPr>
        <w:t>a</w:t>
      </w:r>
      <w:r w:rsidR="008012D2">
        <w:rPr>
          <w:rFonts w:asciiTheme="minorHAnsi" w:hAnsiTheme="minorHAnsi" w:cstheme="minorHAnsi"/>
          <w:color w:val="000000" w:themeColor="text1"/>
        </w:rPr>
        <w:t xml:space="preserve"> </w:t>
      </w: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pPr>
        <w:pStyle w:val="Odsekzoznamu"/>
        <w:numPr>
          <w:ilvl w:val="1"/>
          <w:numId w:val="4"/>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pPr>
        <w:pStyle w:val="Odsekzoznamu"/>
        <w:numPr>
          <w:ilvl w:val="1"/>
          <w:numId w:val="4"/>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pPr>
        <w:pStyle w:val="Nadpis2"/>
        <w:numPr>
          <w:ilvl w:val="1"/>
          <w:numId w:val="16"/>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5AF70442" w:rsidR="00C42230" w:rsidRPr="00BE2D21" w:rsidRDefault="00C42230">
      <w:pPr>
        <w:pStyle w:val="Nadpis2"/>
        <w:numPr>
          <w:ilvl w:val="1"/>
          <w:numId w:val="16"/>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012D2">
        <w:rPr>
          <w:rFonts w:asciiTheme="minorHAnsi" w:hAnsiTheme="minorHAnsi" w:cstheme="minorHAnsi"/>
          <w:i w:val="0"/>
          <w:sz w:val="22"/>
          <w:szCs w:val="22"/>
          <w:highlight w:val="yellow"/>
        </w:rPr>
        <w:t>14</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pPr>
        <w:pStyle w:val="Nadpis2"/>
        <w:numPr>
          <w:ilvl w:val="1"/>
          <w:numId w:val="16"/>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pPr>
        <w:pStyle w:val="Odsekzoznamu"/>
        <w:numPr>
          <w:ilvl w:val="0"/>
          <w:numId w:val="17"/>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pPr>
        <w:pStyle w:val="Odsekzoznamu"/>
        <w:numPr>
          <w:ilvl w:val="0"/>
          <w:numId w:val="17"/>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pPr>
        <w:pStyle w:val="Odsekzoznamu"/>
        <w:numPr>
          <w:ilvl w:val="0"/>
          <w:numId w:val="17"/>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pPr>
        <w:pStyle w:val="Odsekzoznamu"/>
        <w:widowControl/>
        <w:numPr>
          <w:ilvl w:val="1"/>
          <w:numId w:val="16"/>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pPr>
        <w:pStyle w:val="SSCnorm2"/>
        <w:widowControl w:val="0"/>
        <w:numPr>
          <w:ilvl w:val="0"/>
          <w:numId w:val="12"/>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pPr>
        <w:pStyle w:val="SSCnorm2"/>
        <w:widowControl w:val="0"/>
        <w:numPr>
          <w:ilvl w:val="0"/>
          <w:numId w:val="13"/>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336EF6B8" w14:textId="77777777" w:rsidR="002A1C88" w:rsidRPr="00625FC6" w:rsidRDefault="002A1C88">
      <w:pPr>
        <w:pStyle w:val="SSCnorm2"/>
        <w:widowControl w:val="0"/>
        <w:numPr>
          <w:ilvl w:val="0"/>
          <w:numId w:val="13"/>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42FBAF56" w14:textId="77777777" w:rsidR="002A1C88" w:rsidRPr="00BE2D21" w:rsidRDefault="002A1C88">
      <w:pPr>
        <w:pStyle w:val="PredformtovanHTML"/>
        <w:numPr>
          <w:ilvl w:val="0"/>
          <w:numId w:val="13"/>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4C823C73" w14:textId="77777777" w:rsidR="002A1C88" w:rsidRPr="00BE2D21" w:rsidRDefault="002A1C88">
      <w:pPr>
        <w:pStyle w:val="PredformtovanHTML"/>
        <w:numPr>
          <w:ilvl w:val="0"/>
          <w:numId w:val="13"/>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pPr>
        <w:pStyle w:val="SSCnorm2"/>
        <w:widowControl w:val="0"/>
        <w:numPr>
          <w:ilvl w:val="0"/>
          <w:numId w:val="13"/>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pPr>
        <w:pStyle w:val="SSCnorm2"/>
        <w:widowControl w:val="0"/>
        <w:numPr>
          <w:ilvl w:val="0"/>
          <w:numId w:val="13"/>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pPr>
        <w:pStyle w:val="SSCnorm2"/>
        <w:widowControl w:val="0"/>
        <w:numPr>
          <w:ilvl w:val="0"/>
          <w:numId w:val="13"/>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pPr>
        <w:pStyle w:val="SSCnorm2"/>
        <w:widowControl w:val="0"/>
        <w:numPr>
          <w:ilvl w:val="0"/>
          <w:numId w:val="12"/>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F56EEDC" w:rsidR="0080418C" w:rsidRPr="0067710C" w:rsidRDefault="0080418C">
      <w:pPr>
        <w:pStyle w:val="Odsekzoznamu"/>
        <w:numPr>
          <w:ilvl w:val="0"/>
          <w:numId w:val="18"/>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006D3355">
        <w:rPr>
          <w:rFonts w:asciiTheme="minorHAnsi" w:eastAsia="Calibri" w:hAnsiTheme="minorHAnsi" w:cstheme="minorHAnsi"/>
          <w:b/>
          <w:bCs/>
          <w:color w:val="000000"/>
        </w:rPr>
        <w:t>30.06.2023</w:t>
      </w:r>
    </w:p>
    <w:p w14:paraId="08DB37D9" w14:textId="77777777" w:rsidR="0080418C" w:rsidRPr="0080418C" w:rsidRDefault="0080418C">
      <w:pPr>
        <w:pStyle w:val="Odsekzoznamu"/>
        <w:numPr>
          <w:ilvl w:val="0"/>
          <w:numId w:val="18"/>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pPr>
        <w:pStyle w:val="Nadpis2"/>
        <w:numPr>
          <w:ilvl w:val="1"/>
          <w:numId w:val="16"/>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pPr>
        <w:pStyle w:val="SSCnorm2"/>
        <w:widowControl w:val="0"/>
        <w:numPr>
          <w:ilvl w:val="2"/>
          <w:numId w:val="16"/>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pPr>
        <w:pStyle w:val="SSCnorm2"/>
        <w:widowControl w:val="0"/>
        <w:numPr>
          <w:ilvl w:val="2"/>
          <w:numId w:val="16"/>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pPr>
        <w:pStyle w:val="SSCnorm2"/>
        <w:widowControl w:val="0"/>
        <w:numPr>
          <w:ilvl w:val="0"/>
          <w:numId w:val="14"/>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pPr>
        <w:pStyle w:val="SSCnorm2"/>
        <w:widowControl w:val="0"/>
        <w:numPr>
          <w:ilvl w:val="0"/>
          <w:numId w:val="14"/>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pPr>
        <w:pStyle w:val="SSCnorm2"/>
        <w:widowControl w:val="0"/>
        <w:numPr>
          <w:ilvl w:val="0"/>
          <w:numId w:val="14"/>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pPr>
        <w:pStyle w:val="Nadpis2"/>
        <w:numPr>
          <w:ilvl w:val="1"/>
          <w:numId w:val="16"/>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pPr>
        <w:pStyle w:val="Nadpis2"/>
        <w:numPr>
          <w:ilvl w:val="0"/>
          <w:numId w:val="15"/>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pPr>
        <w:pStyle w:val="Odsekzoznamu"/>
        <w:widowControl/>
        <w:numPr>
          <w:ilvl w:val="0"/>
          <w:numId w:val="15"/>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pPr>
        <w:pStyle w:val="Odsekzoznamu"/>
        <w:widowControl/>
        <w:numPr>
          <w:ilvl w:val="1"/>
          <w:numId w:val="16"/>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F88B043"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w:t>
      </w:r>
      <w:r w:rsidR="00D027AE">
        <w:rPr>
          <w:rFonts w:asciiTheme="minorHAnsi" w:hAnsiTheme="minorHAnsi" w:cstheme="minorHAnsi"/>
        </w:rPr>
        <w:t>7</w:t>
      </w:r>
      <w:r w:rsidR="00D23C89" w:rsidRPr="0067710C">
        <w:rPr>
          <w:rFonts w:asciiTheme="minorHAnsi" w:hAnsiTheme="minorHAnsi" w:cstheme="minorHAnsi"/>
        </w:rPr>
        <w:t xml:space="preserve"> týchto súťažných podkladov</w:t>
      </w:r>
      <w:r w:rsidR="00D23C89">
        <w:rPr>
          <w:rFonts w:asciiTheme="minorHAnsi" w:hAnsiTheme="minorHAnsi" w:cstheme="minorHAnsi"/>
        </w:rPr>
        <w:t xml:space="preserve"> resp. 12.</w:t>
      </w:r>
      <w:r w:rsidR="00D027AE">
        <w:rPr>
          <w:rFonts w:asciiTheme="minorHAnsi" w:hAnsiTheme="minorHAnsi" w:cstheme="minorHAnsi"/>
        </w:rPr>
        <w:t>8</w:t>
      </w:r>
      <w:r w:rsidR="00D23C89">
        <w:rPr>
          <w:rFonts w:asciiTheme="minorHAnsi" w:hAnsiTheme="minorHAnsi" w:cstheme="minorHAnsi"/>
        </w:rPr>
        <w:t xml:space="preserve">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pPr>
        <w:pStyle w:val="Odsekzoznamu"/>
        <w:numPr>
          <w:ilvl w:val="2"/>
          <w:numId w:val="3"/>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pPr>
        <w:pStyle w:val="Odsekzoznamu"/>
        <w:numPr>
          <w:ilvl w:val="2"/>
          <w:numId w:val="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1D699210" w14:textId="77777777" w:rsidR="006D3355" w:rsidRPr="00ED1BE3" w:rsidRDefault="006D3355">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615448E" w14:textId="77777777" w:rsidR="006D3355" w:rsidRPr="00E37000" w:rsidRDefault="006D3355">
      <w:pPr>
        <w:widowControl/>
        <w:numPr>
          <w:ilvl w:val="1"/>
          <w:numId w:val="11"/>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28F3E623" w14:textId="77777777" w:rsidR="006D3355" w:rsidRDefault="006D3355">
      <w:pPr>
        <w:widowControl/>
        <w:numPr>
          <w:ilvl w:val="1"/>
          <w:numId w:val="11"/>
        </w:numPr>
        <w:adjustRightInd w:val="0"/>
        <w:spacing w:line="276" w:lineRule="auto"/>
        <w:ind w:left="851" w:hanging="567"/>
        <w:rPr>
          <w:rFonts w:asciiTheme="minorHAnsi" w:hAnsiTheme="minorHAnsi" w:cstheme="minorHAnsi"/>
          <w:color w:val="000000" w:themeColor="text1"/>
          <w:lang w:eastAsia="sk-SK"/>
        </w:rPr>
      </w:pPr>
      <w:r w:rsidRPr="003A5FC8">
        <w:rPr>
          <w:rFonts w:ascii="Calibri" w:eastAsia="Arial,Bold" w:hAnsi="Calibri" w:cs="Calibri"/>
        </w:rPr>
        <w:t xml:space="preserve">Uchádzač predkladá ponuku v elektronickej podobe v lehote na predkladanie ponúk. </w:t>
      </w:r>
      <w:r w:rsidRPr="003A5FC8">
        <w:rPr>
          <w:rFonts w:ascii="Calibri" w:hAnsi="Calibri" w:cs="Calibri"/>
        </w:rPr>
        <w:t xml:space="preserve">Ponuka je vyhotovená elektronicky v zmysle § 49 ods. 1 písm. a) zákona o verejnom obstarávaní a vložená do systému JOSEPHINE umiestnenom na webovej adrese </w:t>
      </w:r>
      <w:hyperlink r:id="rId11" w:history="1">
        <w:r w:rsidRPr="003A5FC8">
          <w:rPr>
            <w:rStyle w:val="Hypertextovprepojenie"/>
            <w:rFonts w:ascii="Calibri" w:hAnsi="Calibri" w:cs="Calibri"/>
          </w:rPr>
          <w:t>https://josephine.proebiz.com/</w:t>
        </w:r>
      </w:hyperlink>
      <w:r w:rsidRPr="003A5FC8">
        <w:rPr>
          <w:rFonts w:ascii="Calibri" w:eastAsia="Arial,Bold" w:hAnsi="Calibri" w:cs="Calibri"/>
        </w:rPr>
        <w:t>.</w:t>
      </w:r>
      <w:r>
        <w:rPr>
          <w:rFonts w:ascii="Calibri" w:eastAsia="Arial,Bold" w:hAnsi="Calibri" w:cs="Calibri"/>
        </w:rPr>
        <w:t xml:space="preserve"> </w:t>
      </w:r>
      <w:r w:rsidRPr="003A5FC8">
        <w:rPr>
          <w:rFonts w:asciiTheme="minorHAnsi" w:hAnsiTheme="minorHAnsi" w:cstheme="minorHAnsi"/>
          <w:color w:val="000000" w:themeColor="text1"/>
          <w:lang w:eastAsia="sk-SK"/>
        </w:rPr>
        <w:t>Ponuka musí byť predložená v čitateľnej a reprodukovateľnej podobe.</w:t>
      </w:r>
    </w:p>
    <w:p w14:paraId="2FD08B95" w14:textId="77777777" w:rsidR="006D3355" w:rsidRPr="003A5FC8" w:rsidRDefault="006D3355">
      <w:pPr>
        <w:widowControl/>
        <w:numPr>
          <w:ilvl w:val="1"/>
          <w:numId w:val="11"/>
        </w:numPr>
        <w:adjustRightInd w:val="0"/>
        <w:spacing w:line="276" w:lineRule="auto"/>
        <w:ind w:left="851" w:hanging="567"/>
        <w:rPr>
          <w:rFonts w:asciiTheme="minorHAnsi" w:hAnsiTheme="minorHAnsi" w:cstheme="minorHAnsi"/>
          <w:color w:val="000000" w:themeColor="text1"/>
          <w:lang w:eastAsia="sk-SK"/>
        </w:rPr>
      </w:pPr>
      <w:r w:rsidRPr="003A5FC8">
        <w:rPr>
          <w:rFonts w:ascii="Calibri" w:hAnsi="Calibri" w:cs="Calibri"/>
        </w:rPr>
        <w:t xml:space="preserve">Elektronická ponuka sa vloží vyplnením ponukového formulára a vložením požadovaných dokladov a dokumentov v systéme JOSEPHINE umiestnenom na webovej adrese </w:t>
      </w:r>
      <w:hyperlink r:id="rId12" w:history="1">
        <w:r w:rsidRPr="003A5FC8">
          <w:rPr>
            <w:rStyle w:val="Hypertextovprepojenie"/>
            <w:rFonts w:ascii="Calibri" w:hAnsi="Calibri" w:cs="Calibri"/>
          </w:rPr>
          <w:t>https://josephine.proebiz.com/</w:t>
        </w:r>
      </w:hyperlink>
      <w:r w:rsidRPr="003A5FC8">
        <w:rPr>
          <w:rFonts w:ascii="Calibri" w:hAnsi="Calibri" w:cs="Calibri"/>
        </w:rPr>
        <w:t>.</w:t>
      </w:r>
    </w:p>
    <w:p w14:paraId="6E8795D0" w14:textId="77777777" w:rsidR="006D3355" w:rsidRPr="003A5FC8" w:rsidRDefault="006D3355">
      <w:pPr>
        <w:widowControl/>
        <w:numPr>
          <w:ilvl w:val="1"/>
          <w:numId w:val="11"/>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628B3FBA" w14:textId="77777777" w:rsidR="006D3355" w:rsidRPr="003A5FC8"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r>
        <w:rPr>
          <w:rFonts w:asciiTheme="minorHAnsi" w:hAnsiTheme="minorHAnsi" w:cstheme="minorHAnsi"/>
          <w:i/>
          <w:color w:val="000000"/>
          <w:lang w:eastAsia="sk-SK"/>
        </w:rPr>
        <w:t>.</w:t>
      </w:r>
    </w:p>
    <w:p w14:paraId="1318A375" w14:textId="77777777" w:rsidR="006D3355" w:rsidRPr="003A5FC8"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Theme="minorHAnsi" w:hAnsiTheme="minorHAnsi" w:cstheme="minorHAnsi"/>
          <w:i/>
          <w:color w:val="000000"/>
          <w:lang w:eastAsia="sk-SK"/>
        </w:rPr>
        <w:t xml:space="preserve">Uchádzač zároveň nahrá do systému aj vyplnený formulár </w:t>
      </w:r>
      <w:r w:rsidRPr="003A5FC8">
        <w:rPr>
          <w:rFonts w:asciiTheme="minorHAnsi" w:hAnsiTheme="minorHAnsi" w:cstheme="minorHAnsi"/>
          <w:b/>
          <w:i/>
          <w:color w:val="000000"/>
          <w:lang w:eastAsia="sk-SK"/>
        </w:rPr>
        <w:t>Výkaz výmer</w:t>
      </w:r>
      <w:r w:rsidRPr="003A5FC8">
        <w:rPr>
          <w:rFonts w:asciiTheme="minorHAnsi" w:hAnsiTheme="minorHAnsi" w:cstheme="minorHAnsi"/>
          <w:i/>
          <w:color w:val="000000"/>
          <w:lang w:eastAsia="sk-SK"/>
        </w:rPr>
        <w:t xml:space="preserve"> vo formáte </w:t>
      </w:r>
      <w:proofErr w:type="spellStart"/>
      <w:r w:rsidRPr="003A5FC8">
        <w:rPr>
          <w:rFonts w:asciiTheme="minorHAnsi" w:hAnsiTheme="minorHAnsi" w:cstheme="minorHAnsi"/>
          <w:i/>
          <w:color w:val="000000"/>
          <w:lang w:eastAsia="sk-SK"/>
        </w:rPr>
        <w:t>xls</w:t>
      </w:r>
      <w:proofErr w:type="spellEnd"/>
      <w:r w:rsidRPr="003A5FC8">
        <w:rPr>
          <w:rFonts w:asciiTheme="minorHAnsi" w:hAnsiTheme="minorHAnsi" w:cstheme="minorHAnsi"/>
          <w:i/>
          <w:color w:val="000000"/>
          <w:lang w:eastAsia="sk-SK"/>
        </w:rPr>
        <w:t>, ktorý bude obsahovať rovnaký návrh na plnenie kritéria vložený do systému.</w:t>
      </w:r>
    </w:p>
    <w:p w14:paraId="33436DA9" w14:textId="77777777" w:rsidR="006D3355" w:rsidRPr="003A5FC8"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Ak ponuka obsahuje dôverné informácie, uchádzač ich v ponuke viditeľne označí. </w:t>
      </w:r>
    </w:p>
    <w:p w14:paraId="3CD2C20A" w14:textId="77777777" w:rsidR="006D3355" w:rsidRDefault="006D3355" w:rsidP="006D3355">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C6AC4B5" w14:textId="77777777" w:rsidR="006D3355"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Po úspešnom nahraní ponuky do systému JOSEPHINE je uchádzačovi odoslaný notifikačný informatívny e-mail (a to na emailovú adresu užívateľa uchádzača, ktorý ponuku nahral). </w:t>
      </w:r>
    </w:p>
    <w:p w14:paraId="2709541C" w14:textId="77777777" w:rsidR="006D3355"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Ponuka uchádzača predložená po uplynutí lehoty na predkladanie ponúk sa elektronicky neotvorí.</w:t>
      </w:r>
    </w:p>
    <w:p w14:paraId="2BEC6F7E" w14:textId="77777777" w:rsidR="006D3355"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Uchádzač môže predloženú ponuku vziať späť do uplynutia lehoty na predkladanie ponúk. Uchádzač pri odvolaní ponuky postupuje obdobne ako pri vložení prvotnej ponuky (kliknutím na tlačidlo „Stiahnuť ponuku“ a predložením novej ponuky).</w:t>
      </w:r>
    </w:p>
    <w:p w14:paraId="287E0CE4" w14:textId="77777777" w:rsidR="006D3355" w:rsidRPr="003A5FC8" w:rsidRDefault="006D3355">
      <w:pPr>
        <w:widowControl/>
        <w:numPr>
          <w:ilvl w:val="1"/>
          <w:numId w:val="11"/>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eastAsia="Arial,Bold" w:hAnsi="Calibri" w:cs="Calibr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6C151AF" w14:textId="77777777" w:rsidR="006D3355" w:rsidRDefault="006D3355" w:rsidP="006D3355">
      <w:pPr>
        <w:widowControl/>
        <w:adjustRightInd w:val="0"/>
        <w:spacing w:after="21" w:line="276" w:lineRule="auto"/>
        <w:jc w:val="both"/>
        <w:rPr>
          <w:rFonts w:asciiTheme="minorHAnsi" w:hAnsiTheme="minorHAnsi" w:cstheme="minorHAnsi"/>
          <w:i/>
          <w:color w:val="000000"/>
          <w:lang w:eastAsia="sk-SK"/>
        </w:rPr>
      </w:pPr>
    </w:p>
    <w:p w14:paraId="3750C581" w14:textId="77777777" w:rsidR="006D3355" w:rsidRPr="00E37000" w:rsidRDefault="006D3355" w:rsidP="006D3355">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0B5C207" w14:textId="77777777" w:rsidR="006D3355" w:rsidRPr="00E37000" w:rsidRDefault="006D3355" w:rsidP="006D3355">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47E14A0E" w14:textId="77777777" w:rsidR="006D3355" w:rsidRPr="00E37000" w:rsidRDefault="006D3355" w:rsidP="006D3355">
      <w:pPr>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pPr>
        <w:numPr>
          <w:ilvl w:val="1"/>
          <w:numId w:val="11"/>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74E5E7F3" w14:textId="1FA6C9F9" w:rsidR="00FC6EDB" w:rsidRPr="00FC6EDB" w:rsidRDefault="00FC6EDB" w:rsidP="00FC6EDB">
      <w:pPr>
        <w:pStyle w:val="Zarkazkladnhotextu21"/>
        <w:tabs>
          <w:tab w:val="left" w:pos="993"/>
          <w:tab w:val="right" w:leader="dot" w:pos="10033"/>
        </w:tabs>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3" w:history="1">
        <w:r w:rsidRPr="0090098D">
          <w:rPr>
            <w:rStyle w:val="Hypertextovprepojenie"/>
            <w:rFonts w:asciiTheme="minorHAnsi" w:eastAsiaTheme="minorHAnsi" w:hAnsiTheme="minorHAnsi" w:cstheme="minorHAnsi"/>
            <w:b/>
            <w:bCs/>
            <w:sz w:val="22"/>
            <w:szCs w:val="22"/>
            <w:lang w:eastAsia="en-US"/>
          </w:rPr>
          <w:t>https://josephine.proebiz.com/sk/tender/36125/summary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6ACE883C" w:rsid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104D4D0D" w14:textId="77777777" w:rsidR="00D045EF" w:rsidRPr="00F635FC" w:rsidRDefault="00D045EF"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pPr>
        <w:numPr>
          <w:ilvl w:val="0"/>
          <w:numId w:val="11"/>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20F1454F" w14:textId="02DF7D9E" w:rsidR="00FC6EDB" w:rsidRPr="00FC6EDB" w:rsidRDefault="00FC6EDB">
      <w:pPr>
        <w:numPr>
          <w:ilvl w:val="1"/>
          <w:numId w:val="11"/>
        </w:numPr>
        <w:suppressAutoHyphens/>
        <w:autoSpaceDE/>
        <w:autoSpaceDN/>
        <w:ind w:left="851" w:hanging="567"/>
        <w:jc w:val="both"/>
        <w:rPr>
          <w:rFonts w:asciiTheme="minorHAnsi" w:hAnsiTheme="minorHAnsi" w:cstheme="minorHAnsi"/>
          <w:bCs/>
          <w:caps/>
          <w:color w:val="2E74B5"/>
        </w:rPr>
      </w:pPr>
      <w:r w:rsidRPr="00FC6EDB">
        <w:rPr>
          <w:rFonts w:asciiTheme="minorHAnsi" w:hAnsiTheme="minorHAnsi" w:cstheme="minorHAnsi"/>
        </w:rPr>
        <w:t xml:space="preserve">Otváranie ponúk sa uskutoční elektronicky v mieste a čase </w:t>
      </w:r>
      <w:r w:rsidRPr="00FC6EDB">
        <w:rPr>
          <w:rFonts w:asciiTheme="minorHAnsi" w:hAnsiTheme="minorHAnsi" w:cstheme="minorHAnsi"/>
          <w:color w:val="000000"/>
          <w:lang w:eastAsia="sk-SK"/>
        </w:rPr>
        <w:t xml:space="preserve">uvedenom vo výzve na predkladanie ponúk </w:t>
      </w:r>
      <w:r w:rsidRPr="00FC6EDB">
        <w:rPr>
          <w:rFonts w:asciiTheme="minorHAnsi" w:eastAsiaTheme="minorHAnsi" w:hAnsiTheme="minorHAnsi" w:cstheme="minorHAnsi"/>
          <w:lang w:eastAsia="en-US"/>
        </w:rPr>
        <w:t xml:space="preserve">v súlade § 52 ods. 2 a </w:t>
      </w:r>
      <w:r w:rsidRPr="00FC6EDB">
        <w:rPr>
          <w:rFonts w:asciiTheme="minorHAnsi" w:hAnsiTheme="minorHAnsi" w:cstheme="minorHAnsi"/>
        </w:rPr>
        <w:t>§ 114 ods. 4 ZVO.</w:t>
      </w:r>
    </w:p>
    <w:p w14:paraId="26CA15DC" w14:textId="77777777" w:rsidR="00B16FBC" w:rsidRPr="003E27C3" w:rsidRDefault="00B16FBC">
      <w:pPr>
        <w:numPr>
          <w:ilvl w:val="1"/>
          <w:numId w:val="11"/>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pPr>
        <w:numPr>
          <w:ilvl w:val="1"/>
          <w:numId w:val="11"/>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pPr>
        <w:numPr>
          <w:ilvl w:val="1"/>
          <w:numId w:val="11"/>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pPr>
        <w:numPr>
          <w:ilvl w:val="0"/>
          <w:numId w:val="11"/>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7B0130CA" w14:textId="77777777" w:rsidR="006D3355" w:rsidRPr="006D3355" w:rsidRDefault="00B16FBC">
      <w:pPr>
        <w:pStyle w:val="Odsekzoznamu"/>
        <w:numPr>
          <w:ilvl w:val="1"/>
          <w:numId w:val="11"/>
        </w:numPr>
        <w:ind w:left="851" w:hanging="567"/>
        <w:jc w:val="both"/>
        <w:rPr>
          <w:rFonts w:asciiTheme="minorHAnsi" w:hAnsiTheme="minorHAnsi" w:cstheme="minorHAnsi"/>
        </w:rPr>
      </w:pPr>
      <w:r w:rsidRPr="006D3355">
        <w:rPr>
          <w:rFonts w:asciiTheme="minorHAnsi" w:hAnsiTheme="minorHAnsi" w:cstheme="minorHAnsi"/>
        </w:rPr>
        <w:t>Verejný obstarávateľ na vyhodnotenie ponúk nepoužije elektronickú aukciu.</w:t>
      </w:r>
    </w:p>
    <w:p w14:paraId="7F7E522A" w14:textId="77777777" w:rsidR="006D3355" w:rsidRPr="006D3355" w:rsidRDefault="006D3355">
      <w:pPr>
        <w:pStyle w:val="Odsekzoznamu"/>
        <w:numPr>
          <w:ilvl w:val="1"/>
          <w:numId w:val="11"/>
        </w:numPr>
        <w:ind w:left="851" w:hanging="567"/>
        <w:jc w:val="both"/>
        <w:rPr>
          <w:rFonts w:asciiTheme="minorHAnsi" w:hAnsiTheme="minorHAnsi" w:cstheme="minorHAnsi"/>
        </w:rPr>
      </w:pPr>
      <w:r w:rsidRPr="006D3355">
        <w:rPr>
          <w:rFonts w:asciiTheme="minorHAnsi" w:hAnsiTheme="minorHAnsi" w:cstheme="minorHAnsi"/>
        </w:rPr>
        <w:t>V zmysle § 112 ods. 7 zákona o verejnom obstarávaní verejný obstarávateľ rozhodol, že vyhodnotenie splnenia podmienok účasti a vyhodnotenie ponúk z hľadiska splnenia požiadaviek na predmet zákazky sa uskutoční po vyhodnotení ponúk na základe kritérií na vyhodnotenie ponúk.</w:t>
      </w:r>
    </w:p>
    <w:p w14:paraId="03BDA3DC" w14:textId="1B6EAA0C" w:rsidR="006D3355" w:rsidRPr="006D3355" w:rsidRDefault="006D3355">
      <w:pPr>
        <w:pStyle w:val="Odsekzoznamu"/>
        <w:numPr>
          <w:ilvl w:val="1"/>
          <w:numId w:val="11"/>
        </w:numPr>
        <w:ind w:left="851" w:hanging="567"/>
        <w:jc w:val="both"/>
        <w:rPr>
          <w:rFonts w:asciiTheme="minorHAnsi" w:hAnsiTheme="minorHAnsi" w:cstheme="minorHAnsi"/>
        </w:rPr>
      </w:pPr>
      <w:r w:rsidRPr="006D3355">
        <w:rPr>
          <w:rFonts w:asciiTheme="minorHAnsi" w:hAnsiTheme="minorHAnsi" w:cstheme="minorHAnsi"/>
        </w:rPr>
        <w:t>Ponuky uchádzačov sa budú vyhodnocovať</w:t>
      </w:r>
      <w:r w:rsidRPr="006D3355">
        <w:rPr>
          <w:rFonts w:asciiTheme="minorHAnsi" w:eastAsiaTheme="minorHAnsi" w:hAnsiTheme="minorHAnsi" w:cstheme="minorHAnsi"/>
          <w:lang w:eastAsia="en-US"/>
        </w:rPr>
        <w:t xml:space="preserve"> v nasledovnej postupnosti:</w:t>
      </w:r>
    </w:p>
    <w:p w14:paraId="1D43D9A2" w14:textId="77777777" w:rsidR="006D3355" w:rsidRPr="006D3355" w:rsidRDefault="006D3355">
      <w:pPr>
        <w:pStyle w:val="Odsekzoznamu"/>
        <w:widowControl/>
        <w:numPr>
          <w:ilvl w:val="0"/>
          <w:numId w:val="21"/>
        </w:numPr>
        <w:adjustRightInd w:val="0"/>
        <w:ind w:left="1134" w:hanging="283"/>
        <w:rPr>
          <w:rFonts w:asciiTheme="minorHAnsi" w:eastAsiaTheme="minorHAnsi" w:hAnsiTheme="minorHAnsi" w:cstheme="minorHAnsi"/>
          <w:lang w:eastAsia="en-US"/>
        </w:rPr>
      </w:pPr>
      <w:r w:rsidRPr="006D3355">
        <w:rPr>
          <w:rFonts w:asciiTheme="minorHAnsi" w:eastAsiaTheme="minorHAnsi" w:hAnsiTheme="minorHAnsi" w:cstheme="minorHAnsi"/>
          <w:lang w:eastAsia="en-US"/>
        </w:rPr>
        <w:t>vyhodnotenie predložených ponúk na základe kritérií na vyhodnotenie ponúk a zostavenie poradia na základe vyhodnotenia ponúk podľa kritérií určených na vyhodnotenie ponúk,</w:t>
      </w:r>
    </w:p>
    <w:p w14:paraId="4F00E3DB" w14:textId="77777777" w:rsidR="006D3355" w:rsidRPr="006D3355" w:rsidRDefault="006D3355">
      <w:pPr>
        <w:pStyle w:val="Odsekzoznamu"/>
        <w:widowControl/>
        <w:numPr>
          <w:ilvl w:val="0"/>
          <w:numId w:val="21"/>
        </w:numPr>
        <w:adjustRightInd w:val="0"/>
        <w:ind w:left="1134" w:hanging="283"/>
        <w:rPr>
          <w:rFonts w:asciiTheme="minorHAnsi" w:eastAsiaTheme="minorHAnsi" w:hAnsiTheme="minorHAnsi" w:cstheme="minorHAnsi"/>
          <w:lang w:eastAsia="en-US"/>
        </w:rPr>
      </w:pPr>
      <w:r w:rsidRPr="006D3355">
        <w:rPr>
          <w:rFonts w:asciiTheme="minorHAnsi" w:eastAsiaTheme="minorHAnsi" w:hAnsiTheme="minorHAnsi" w:cstheme="minorHAnsi"/>
          <w:lang w:eastAsia="en-US"/>
        </w:rPr>
        <w:t>vyhodnotenie splnenia podmienok účasti ponuky podľa § 40 ZVO,</w:t>
      </w:r>
    </w:p>
    <w:p w14:paraId="703237C0" w14:textId="3482FC36" w:rsidR="006D3355" w:rsidRPr="006D3355" w:rsidRDefault="006D3355">
      <w:pPr>
        <w:pStyle w:val="Odsekzoznamu"/>
        <w:widowControl/>
        <w:numPr>
          <w:ilvl w:val="0"/>
          <w:numId w:val="21"/>
        </w:numPr>
        <w:adjustRightInd w:val="0"/>
        <w:ind w:left="1134" w:hanging="283"/>
        <w:rPr>
          <w:rFonts w:asciiTheme="minorHAnsi" w:hAnsiTheme="minorHAnsi" w:cstheme="minorHAnsi"/>
        </w:rPr>
      </w:pPr>
      <w:r w:rsidRPr="006D3355">
        <w:rPr>
          <w:rFonts w:asciiTheme="minorHAnsi" w:eastAsiaTheme="minorHAnsi" w:hAnsiTheme="minorHAnsi" w:cstheme="minorHAnsi"/>
          <w:lang w:eastAsia="en-US"/>
        </w:rPr>
        <w:t>vyhodnotenie ponuky z pohľadu splnenia požiadaviek na predmet zákazky podľa § 53 ZVO</w:t>
      </w:r>
      <w:r>
        <w:rPr>
          <w:rFonts w:asciiTheme="minorHAnsi" w:eastAsiaTheme="minorHAnsi" w:hAnsiTheme="minorHAnsi" w:cstheme="minorHAnsi"/>
          <w:lang w:eastAsia="en-US"/>
        </w:rPr>
        <w:t>.</w:t>
      </w:r>
    </w:p>
    <w:p w14:paraId="5C29A928" w14:textId="77777777" w:rsidR="00D045EF" w:rsidRDefault="006D3355">
      <w:pPr>
        <w:pStyle w:val="Textkomentra"/>
        <w:numPr>
          <w:ilvl w:val="1"/>
          <w:numId w:val="11"/>
        </w:numPr>
        <w:ind w:left="851" w:hanging="567"/>
        <w:jc w:val="both"/>
        <w:rPr>
          <w:rFonts w:asciiTheme="minorHAnsi" w:hAnsiTheme="minorHAnsi" w:cstheme="minorHAnsi"/>
          <w:sz w:val="22"/>
          <w:szCs w:val="22"/>
        </w:rPr>
      </w:pPr>
      <w:r w:rsidRPr="006D3355">
        <w:rPr>
          <w:rFonts w:asciiTheme="minorHAnsi" w:hAnsiTheme="minorHAnsi" w:cstheme="minorHAnsi"/>
          <w:sz w:val="22"/>
          <w:szCs w:val="22"/>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E960517" w14:textId="77777777" w:rsidR="00D045EF" w:rsidRPr="00D045EF" w:rsidRDefault="006D3355">
      <w:pPr>
        <w:pStyle w:val="Textkomentra"/>
        <w:numPr>
          <w:ilvl w:val="1"/>
          <w:numId w:val="11"/>
        </w:numPr>
        <w:ind w:left="851" w:hanging="567"/>
        <w:jc w:val="both"/>
        <w:rPr>
          <w:rFonts w:asciiTheme="minorHAnsi" w:hAnsiTheme="minorHAnsi" w:cstheme="minorHAnsi"/>
          <w:sz w:val="22"/>
          <w:szCs w:val="22"/>
        </w:rPr>
      </w:pPr>
      <w:r w:rsidRPr="00D045EF">
        <w:rPr>
          <w:rFonts w:asciiTheme="minorHAnsi" w:eastAsiaTheme="minorHAnsi" w:hAnsiTheme="minorHAnsi" w:cstheme="minorHAnsi"/>
          <w:lang w:eastAsia="en-US"/>
        </w:rPr>
        <w:t>Komisia bude vyhodnocovať splnenie podmienok účasti ponuky podľa § 40 ZVO a vyhodnocovať ponuku z hľadiska splnenia požiadaviek na predmet zákazky podľa § 53 ZVO u uchádzača umiestneného na prvom mieste v zostavenom poradí, ktoré bolo zostavene po vyhodnotení ponúk na základe kritérií na vyhodnotenie ponúk, všetko vo väzbe na ustanovenie § 55 ZVO.</w:t>
      </w:r>
      <w:r w:rsidRPr="00D045EF">
        <w:rPr>
          <w:rFonts w:asciiTheme="minorHAnsi" w:hAnsiTheme="minorHAnsi" w:cstheme="minorHAnsi"/>
        </w:rPr>
        <w:t xml:space="preserve"> </w:t>
      </w:r>
    </w:p>
    <w:p w14:paraId="47798AE1" w14:textId="77777777" w:rsidR="00D045EF" w:rsidRDefault="006D3355">
      <w:pPr>
        <w:pStyle w:val="Textkomentra"/>
        <w:numPr>
          <w:ilvl w:val="1"/>
          <w:numId w:val="11"/>
        </w:numPr>
        <w:ind w:left="851" w:hanging="567"/>
        <w:jc w:val="both"/>
        <w:rPr>
          <w:rFonts w:asciiTheme="minorHAnsi" w:hAnsiTheme="minorHAnsi" w:cstheme="minorHAnsi"/>
          <w:sz w:val="22"/>
          <w:szCs w:val="22"/>
        </w:rPr>
      </w:pPr>
      <w:r w:rsidRPr="00D045EF">
        <w:rPr>
          <w:rFonts w:asciiTheme="minorHAnsi" w:eastAsiaTheme="minorHAnsi" w:hAnsiTheme="minorHAnsi" w:cstheme="minorHAnsi"/>
          <w:lang w:eastAsia="en-US"/>
        </w:rPr>
        <w:t>Verejný obstarávateľ vylúči uchádzača, ktorý nebude spĺňať podmienky účasti verejného obstarávateľa uvedených vo vyzve na predkladanie ponúk a v týchto SP a vylúči uchádzača, ktorý nebude spĺňať požiadavky verejného obstarávateľa na predmet zákazky uvedene vo vyzve na predkladanie ponúk a v týchto SP.</w:t>
      </w:r>
    </w:p>
    <w:p w14:paraId="442F9C07" w14:textId="179EA1A9" w:rsidR="006D3355" w:rsidRPr="00D045EF" w:rsidRDefault="006D3355">
      <w:pPr>
        <w:pStyle w:val="Textkomentra"/>
        <w:numPr>
          <w:ilvl w:val="1"/>
          <w:numId w:val="11"/>
        </w:numPr>
        <w:ind w:left="851" w:hanging="567"/>
        <w:jc w:val="both"/>
        <w:rPr>
          <w:rFonts w:asciiTheme="minorHAnsi" w:hAnsiTheme="minorHAnsi" w:cstheme="minorHAnsi"/>
          <w:sz w:val="22"/>
          <w:szCs w:val="22"/>
        </w:rPr>
      </w:pPr>
      <w:r w:rsidRPr="00D045EF">
        <w:rPr>
          <w:rFonts w:asciiTheme="minorHAnsi" w:hAnsiTheme="minorHAnsi" w:cstheme="minorHAnsi"/>
          <w:sz w:val="22"/>
          <w:szCs w:val="22"/>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D027AE">
        <w:rPr>
          <w:rFonts w:asciiTheme="minorHAnsi" w:hAnsiTheme="minorHAnsi" w:cstheme="minorHAnsi"/>
          <w:sz w:val="22"/>
          <w:szCs w:val="22"/>
        </w:rPr>
        <w:t>4</w:t>
      </w:r>
      <w:r w:rsidRPr="00D045EF">
        <w:rPr>
          <w:rFonts w:asciiTheme="minorHAnsi" w:hAnsiTheme="minorHAnsi" w:cstheme="minorHAnsi"/>
          <w:sz w:val="22"/>
          <w:szCs w:val="22"/>
        </w:rPr>
        <w:t>.5, 2</w:t>
      </w:r>
      <w:r w:rsidR="00D027AE">
        <w:rPr>
          <w:rFonts w:asciiTheme="minorHAnsi" w:hAnsiTheme="minorHAnsi" w:cstheme="minorHAnsi"/>
          <w:sz w:val="22"/>
          <w:szCs w:val="22"/>
        </w:rPr>
        <w:t>4</w:t>
      </w:r>
      <w:r w:rsidRPr="00D045EF">
        <w:rPr>
          <w:rFonts w:asciiTheme="minorHAnsi" w:hAnsiTheme="minorHAnsi" w:cstheme="minorHAnsi"/>
          <w:sz w:val="22"/>
          <w:szCs w:val="22"/>
        </w:rPr>
        <w:t>.6 a následne tohto bodu 2</w:t>
      </w:r>
      <w:r w:rsidR="00D027AE">
        <w:rPr>
          <w:rFonts w:asciiTheme="minorHAnsi" w:hAnsiTheme="minorHAnsi" w:cstheme="minorHAnsi"/>
          <w:sz w:val="22"/>
          <w:szCs w:val="22"/>
        </w:rPr>
        <w:t>4</w:t>
      </w:r>
      <w:r w:rsidRPr="00D045EF">
        <w:rPr>
          <w:rFonts w:asciiTheme="minorHAnsi" w:hAnsiTheme="minorHAnsi" w:cstheme="minorHAnsi"/>
          <w:sz w:val="22"/>
          <w:szCs w:val="22"/>
        </w:rPr>
        <w:t xml:space="preserve">.7 u ďalšieho uchádzača v poradí tak, aby uchádzač umiestnený na prvom mieste v novo zostavenom poradí spĺňal podmienky účasti.  </w:t>
      </w:r>
    </w:p>
    <w:p w14:paraId="708688F5" w14:textId="4E015ED7" w:rsidR="00B16FBC" w:rsidRPr="006D3355" w:rsidRDefault="00B16FBC" w:rsidP="006D3355">
      <w:pPr>
        <w:jc w:val="both"/>
        <w:rPr>
          <w:rFonts w:asciiTheme="minorHAnsi" w:eastAsiaTheme="minorHAnsi" w:hAnsiTheme="minorHAnsi" w:cstheme="minorHAnsi"/>
          <w:lang w:val="sk-SK" w:eastAsia="en-US"/>
        </w:rPr>
      </w:pPr>
    </w:p>
    <w:p w14:paraId="0173C4B6" w14:textId="77777777" w:rsidR="00B16FBC" w:rsidRPr="00A1678F" w:rsidRDefault="00B16FBC">
      <w:pPr>
        <w:pStyle w:val="Nadpis7"/>
        <w:keepNext w:val="0"/>
        <w:keepLines w:val="0"/>
        <w:widowControl/>
        <w:numPr>
          <w:ilvl w:val="0"/>
          <w:numId w:val="2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pPr>
        <w:pStyle w:val="Odsekzoznamu"/>
        <w:widowControl/>
        <w:numPr>
          <w:ilvl w:val="1"/>
          <w:numId w:val="22"/>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pPr>
        <w:pStyle w:val="Odsekzoznamu"/>
        <w:numPr>
          <w:ilvl w:val="0"/>
          <w:numId w:val="2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5FB2ADAD" w:rsidR="00B16FBC" w:rsidRPr="00F574E4" w:rsidRDefault="00B16FBC">
      <w:pPr>
        <w:pStyle w:val="Odsekzoznamu"/>
        <w:numPr>
          <w:ilvl w:val="1"/>
          <w:numId w:val="23"/>
        </w:numPr>
        <w:spacing w:before="119"/>
        <w:ind w:left="993" w:right="150" w:hanging="709"/>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pPr>
        <w:pStyle w:val="Odsekzoznamu"/>
        <w:numPr>
          <w:ilvl w:val="1"/>
          <w:numId w:val="2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pPr>
        <w:pStyle w:val="Odsekzoznamu"/>
        <w:numPr>
          <w:ilvl w:val="1"/>
          <w:numId w:val="2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pPr>
        <w:pStyle w:val="Odsekzoznamu"/>
        <w:numPr>
          <w:ilvl w:val="1"/>
          <w:numId w:val="2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pPr>
        <w:pStyle w:val="Odsekzoznamu"/>
        <w:numPr>
          <w:ilvl w:val="0"/>
          <w:numId w:val="2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pPr>
        <w:pStyle w:val="Odsekzoznamu"/>
        <w:numPr>
          <w:ilvl w:val="1"/>
          <w:numId w:val="2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pPr>
        <w:numPr>
          <w:ilvl w:val="1"/>
          <w:numId w:val="2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pPr>
        <w:numPr>
          <w:ilvl w:val="1"/>
          <w:numId w:val="2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pPr>
        <w:pStyle w:val="Odsekzoznamu"/>
        <w:numPr>
          <w:ilvl w:val="1"/>
          <w:numId w:val="2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pPr>
        <w:pStyle w:val="Odsekzoznamu"/>
        <w:numPr>
          <w:ilvl w:val="0"/>
          <w:numId w:val="2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pPr>
        <w:pStyle w:val="Odsekzoznamu"/>
        <w:numPr>
          <w:ilvl w:val="1"/>
          <w:numId w:val="2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pPr>
        <w:pStyle w:val="Odsekzoznamu"/>
        <w:numPr>
          <w:ilvl w:val="1"/>
          <w:numId w:val="2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pPr>
        <w:pStyle w:val="Odsekzoznamu"/>
        <w:numPr>
          <w:ilvl w:val="0"/>
          <w:numId w:val="2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5FD26FB4" w14:textId="108F49B8" w:rsidR="006D3355" w:rsidRDefault="006D3355">
      <w:pPr>
        <w:pStyle w:val="Odsekzoznamu"/>
        <w:widowControl/>
        <w:numPr>
          <w:ilvl w:val="1"/>
          <w:numId w:val="23"/>
        </w:numPr>
        <w:suppressAutoHyphens/>
        <w:autoSpaceDE/>
        <w:autoSpaceDN/>
        <w:ind w:left="851" w:hanging="567"/>
        <w:jc w:val="both"/>
        <w:rPr>
          <w:rFonts w:asciiTheme="minorHAnsi" w:hAnsiTheme="minorHAnsi" w:cstheme="minorHAnsi"/>
        </w:rPr>
      </w:pPr>
      <w:r w:rsidRPr="006D3355">
        <w:rPr>
          <w:rFonts w:asciiTheme="minorHAnsi" w:hAnsiTheme="minorHAnsi" w:cstheme="minorHAnsi"/>
        </w:rPr>
        <w:t>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w:t>
      </w:r>
    </w:p>
    <w:p w14:paraId="46F2C56B" w14:textId="77777777" w:rsidR="006D3355" w:rsidRDefault="006D3355" w:rsidP="006D3355">
      <w:pPr>
        <w:pStyle w:val="Odsekzoznamu"/>
        <w:widowControl/>
        <w:suppressAutoHyphens/>
        <w:autoSpaceDE/>
        <w:autoSpaceDN/>
        <w:ind w:left="851" w:hanging="567"/>
        <w:jc w:val="both"/>
        <w:rPr>
          <w:rFonts w:asciiTheme="minorHAnsi" w:hAnsiTheme="minorHAnsi" w:cstheme="minorHAnsi"/>
        </w:rPr>
      </w:pPr>
    </w:p>
    <w:p w14:paraId="732BEEDD" w14:textId="3EB92522" w:rsidR="006D3355" w:rsidRPr="006D3355" w:rsidRDefault="006D3355">
      <w:pPr>
        <w:pStyle w:val="Odsekzoznamu"/>
        <w:widowControl/>
        <w:numPr>
          <w:ilvl w:val="1"/>
          <w:numId w:val="23"/>
        </w:numPr>
        <w:suppressAutoHyphens/>
        <w:autoSpaceDE/>
        <w:autoSpaceDN/>
        <w:ind w:left="851" w:hanging="567"/>
        <w:jc w:val="both"/>
        <w:rPr>
          <w:rFonts w:asciiTheme="minorHAnsi" w:hAnsiTheme="minorHAnsi" w:cstheme="minorHAnsi"/>
        </w:rPr>
      </w:pPr>
      <w:r w:rsidRPr="006D3355">
        <w:rPr>
          <w:rFonts w:asciiTheme="minorHAnsi" w:hAnsiTheme="minorHAnsi" w:cstheme="minorHAnsi"/>
        </w:rPr>
        <w:t xml:space="preserve">Úspešnému uchádzačovi alebo uchádzačom verejný obstarávateľ oznámi, že jeho ponuku alebo ponuky prijíma. </w:t>
      </w:r>
      <w:r w:rsidRPr="006D3355">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p>
    <w:p w14:paraId="777792E9" w14:textId="77777777" w:rsidR="006D3355" w:rsidRPr="00A5322C" w:rsidRDefault="006D3355" w:rsidP="00BB27D6">
      <w:pPr>
        <w:pStyle w:val="Odsekzoznamu"/>
        <w:widowControl/>
        <w:numPr>
          <w:ilvl w:val="0"/>
          <w:numId w:val="20"/>
        </w:numPr>
        <w:suppressAutoHyphens/>
        <w:autoSpaceDE/>
        <w:autoSpaceDN/>
        <w:ind w:left="1134" w:hanging="283"/>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414BFF56" w14:textId="77777777" w:rsidR="006D3355" w:rsidRPr="00A5322C" w:rsidRDefault="006D3355" w:rsidP="00BB27D6">
      <w:pPr>
        <w:pStyle w:val="Odsekzoznamu"/>
        <w:widowControl/>
        <w:numPr>
          <w:ilvl w:val="0"/>
          <w:numId w:val="20"/>
        </w:numPr>
        <w:suppressAutoHyphens/>
        <w:autoSpaceDE/>
        <w:autoSpaceDN/>
        <w:ind w:left="1134" w:hanging="283"/>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1B8F687A" w14:textId="77777777" w:rsidR="006D3355" w:rsidRPr="00A5322C" w:rsidRDefault="006D3355" w:rsidP="00BB27D6">
      <w:pPr>
        <w:pStyle w:val="Odsekzoznamu"/>
        <w:widowControl/>
        <w:numPr>
          <w:ilvl w:val="0"/>
          <w:numId w:val="20"/>
        </w:numPr>
        <w:suppressAutoHyphens/>
        <w:autoSpaceDE/>
        <w:autoSpaceDN/>
        <w:ind w:left="1134" w:hanging="283"/>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67A7C8D0" w14:textId="77777777" w:rsidR="006D3355" w:rsidRPr="00A5322C" w:rsidRDefault="006D3355" w:rsidP="00BB27D6">
      <w:pPr>
        <w:pStyle w:val="Odsekzoznamu"/>
        <w:widowControl/>
        <w:numPr>
          <w:ilvl w:val="0"/>
          <w:numId w:val="20"/>
        </w:numPr>
        <w:suppressAutoHyphens/>
        <w:autoSpaceDE/>
        <w:autoSpaceDN/>
        <w:ind w:left="1134" w:hanging="283"/>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06F8C50C" w14:textId="77777777" w:rsidR="00B16FBC" w:rsidRPr="00F574E4" w:rsidRDefault="00B16FBC">
      <w:pPr>
        <w:pStyle w:val="Odsekzoznamu"/>
        <w:numPr>
          <w:ilvl w:val="0"/>
          <w:numId w:val="23"/>
        </w:numPr>
        <w:tabs>
          <w:tab w:val="left" w:pos="866"/>
          <w:tab w:val="left" w:pos="867"/>
        </w:tabs>
        <w:ind w:left="868" w:hanging="567"/>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pPr>
        <w:numPr>
          <w:ilvl w:val="1"/>
          <w:numId w:val="23"/>
        </w:numPr>
        <w:suppressAutoHyphens/>
        <w:autoSpaceDE/>
        <w:autoSpaceDN/>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34BB2BA8" w14:textId="77777777" w:rsidR="00B16FBC" w:rsidRPr="003A700A" w:rsidRDefault="00B16FBC">
      <w:pPr>
        <w:numPr>
          <w:ilvl w:val="1"/>
          <w:numId w:val="2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pPr>
        <w:numPr>
          <w:ilvl w:val="1"/>
          <w:numId w:val="2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pPr>
        <w:numPr>
          <w:ilvl w:val="1"/>
          <w:numId w:val="2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6DC0C0EB" w:rsidR="00B16FBC" w:rsidRPr="00555786" w:rsidRDefault="00B16FBC">
      <w:pPr>
        <w:numPr>
          <w:ilvl w:val="1"/>
          <w:numId w:val="2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Verejný obstarávateľ požaduje, aby úspešný uchádzač pred uzavretím zmluvy o dielo predložil Zoznam  subdodávateľov podľa bodu 3</w:t>
      </w:r>
      <w:r w:rsidR="0087632C">
        <w:rPr>
          <w:rFonts w:asciiTheme="minorHAnsi" w:hAnsiTheme="minorHAnsi" w:cstheme="minorHAnsi"/>
        </w:rPr>
        <w:t>1</w:t>
      </w:r>
      <w:r w:rsidRPr="00555786">
        <w:rPr>
          <w:rFonts w:asciiTheme="minorHAnsi" w:hAnsiTheme="minorHAnsi" w:cstheme="minorHAnsi"/>
        </w:rPr>
        <w:t xml:space="preserve">.2. tejto časti súťažných podkladov. </w:t>
      </w:r>
    </w:p>
    <w:p w14:paraId="3A599669" w14:textId="77777777" w:rsidR="00B16FBC" w:rsidRPr="00900F4D" w:rsidRDefault="00B16FBC">
      <w:pPr>
        <w:numPr>
          <w:ilvl w:val="1"/>
          <w:numId w:val="2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pPr>
        <w:pStyle w:val="Odsekzoznamu"/>
        <w:widowControl/>
        <w:numPr>
          <w:ilvl w:val="0"/>
          <w:numId w:val="2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pPr>
        <w:pStyle w:val="Odsekzoznamu"/>
        <w:widowControl/>
        <w:numPr>
          <w:ilvl w:val="1"/>
          <w:numId w:val="2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pPr>
        <w:pStyle w:val="Odsekzoznamu"/>
        <w:widowControl/>
        <w:numPr>
          <w:ilvl w:val="1"/>
          <w:numId w:val="2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pPr>
        <w:pStyle w:val="Odsekzoznamu"/>
        <w:widowControl/>
        <w:numPr>
          <w:ilvl w:val="1"/>
          <w:numId w:val="2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pPr>
        <w:numPr>
          <w:ilvl w:val="0"/>
          <w:numId w:val="2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pPr>
        <w:numPr>
          <w:ilvl w:val="1"/>
          <w:numId w:val="2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pPr>
        <w:pStyle w:val="Odsekzoznamu"/>
        <w:widowControl/>
        <w:numPr>
          <w:ilvl w:val="0"/>
          <w:numId w:val="2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pPr>
        <w:pStyle w:val="Odsekzoznamu"/>
        <w:widowControl/>
        <w:numPr>
          <w:ilvl w:val="1"/>
          <w:numId w:val="2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75728BF" w:rsidR="0040071E" w:rsidRPr="00D53289"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EF028E">
        <w:rPr>
          <w:rFonts w:asciiTheme="minorHAnsi" w:hAnsiTheme="minorHAnsi" w:cstheme="minorHAnsi"/>
          <w:b/>
          <w:bCs/>
        </w:rPr>
        <w:t xml:space="preserve">vo </w:t>
      </w:r>
      <w:r w:rsidR="00D23C89" w:rsidRPr="00EF028E">
        <w:rPr>
          <w:rFonts w:asciiTheme="minorHAnsi" w:hAnsiTheme="minorHAnsi" w:cstheme="minorHAnsi"/>
          <w:b/>
          <w:bCs/>
        </w:rPr>
        <w:t xml:space="preserve">Vestníku </w:t>
      </w:r>
      <w:r w:rsidR="00D23C89" w:rsidRPr="00EF028E">
        <w:rPr>
          <w:rFonts w:asciiTheme="minorHAnsi" w:hAnsiTheme="minorHAnsi" w:cstheme="minorHAnsi"/>
          <w:b/>
          <w:bCs/>
          <w:color w:val="000000" w:themeColor="text1"/>
        </w:rPr>
        <w:t xml:space="preserve">č. </w:t>
      </w:r>
      <w:r w:rsidR="00D53289" w:rsidRPr="00D53289">
        <w:rPr>
          <w:rFonts w:asciiTheme="minorHAnsi" w:hAnsiTheme="minorHAnsi" w:cstheme="minorHAnsi"/>
          <w:b/>
          <w:bCs/>
        </w:rPr>
        <w:t xml:space="preserve">272/2022 – 27.12.2022 pod č. 51150 - WYP </w:t>
      </w:r>
      <w:r w:rsidRPr="00D53289">
        <w:rPr>
          <w:rFonts w:asciiTheme="minorHAnsi" w:hAnsiTheme="minorHAnsi" w:cstheme="minorHAnsi"/>
          <w:b/>
          <w:bCs/>
        </w:rPr>
        <w:t xml:space="preserve">(ODDIEL III. Časť III.1.)    </w:t>
      </w:r>
    </w:p>
    <w:p w14:paraId="678B0395" w14:textId="77777777" w:rsidR="008521C9" w:rsidRDefault="008521C9" w:rsidP="008521C9">
      <w:pPr>
        <w:pStyle w:val="Nadpis1"/>
        <w:jc w:val="right"/>
        <w:rPr>
          <w:rFonts w:asciiTheme="minorHAnsi" w:hAnsiTheme="minorHAnsi" w:cstheme="minorHAnsi"/>
          <w:color w:val="808080"/>
          <w:sz w:val="22"/>
          <w:szCs w:val="22"/>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49DE4988" w14:textId="1171A5B1" w:rsidR="00760138" w:rsidRPr="008012D2" w:rsidRDefault="00760138" w:rsidP="0088044B">
      <w:pPr>
        <w:widowControl/>
        <w:adjustRightInd w:val="0"/>
        <w:ind w:left="284"/>
        <w:jc w:val="both"/>
        <w:rPr>
          <w:rFonts w:asciiTheme="minorHAnsi" w:eastAsiaTheme="minorHAnsi" w:hAnsiTheme="minorHAnsi" w:cstheme="minorHAnsi"/>
          <w:lang w:val="sk-SK" w:eastAsia="en-US"/>
        </w:rPr>
      </w:pPr>
      <w:r w:rsidRPr="008012D2">
        <w:rPr>
          <w:rFonts w:asciiTheme="minorHAnsi" w:eastAsiaTheme="minorHAnsi" w:hAnsiTheme="minorHAnsi" w:cstheme="minorHAnsi"/>
          <w:lang w:val="sk-SK" w:eastAsia="en-US"/>
        </w:rPr>
        <w:t xml:space="preserve">Predmetom obstarávania je </w:t>
      </w:r>
      <w:r w:rsidR="008012D2" w:rsidRPr="008012D2">
        <w:rPr>
          <w:rFonts w:asciiTheme="minorHAnsi" w:eastAsiaTheme="minorHAnsi" w:hAnsiTheme="minorHAnsi" w:cstheme="minorHAnsi"/>
          <w:i/>
          <w:iCs/>
          <w:lang w:val="sk-SK" w:eastAsia="en-US"/>
        </w:rPr>
        <w:t>Akčný plán pre zlepšenie podmienok cyklistickej infraštruktúry pomocou organizačných opatrení</w:t>
      </w:r>
      <w:r w:rsidRPr="008012D2">
        <w:rPr>
          <w:rFonts w:asciiTheme="minorHAnsi" w:eastAsiaTheme="minorHAnsi" w:hAnsiTheme="minorHAnsi" w:cstheme="minorHAnsi"/>
          <w:lang w:val="sk-SK" w:eastAsia="en-US"/>
        </w:rPr>
        <w:t>.</w:t>
      </w:r>
    </w:p>
    <w:p w14:paraId="77E0EBF7" w14:textId="77777777" w:rsidR="008012D2" w:rsidRPr="008012D2" w:rsidRDefault="008012D2" w:rsidP="008012D2">
      <w:pPr>
        <w:widowControl/>
        <w:adjustRightInd w:val="0"/>
        <w:ind w:left="284"/>
        <w:jc w:val="both"/>
        <w:rPr>
          <w:rFonts w:asciiTheme="minorHAnsi" w:eastAsiaTheme="minorHAnsi" w:hAnsiTheme="minorHAnsi" w:cstheme="minorHAnsi"/>
          <w:lang w:val="sk-SK" w:eastAsia="en-US"/>
        </w:rPr>
      </w:pPr>
      <w:r w:rsidRPr="008012D2">
        <w:rPr>
          <w:rFonts w:asciiTheme="minorHAnsi" w:eastAsiaTheme="minorHAnsi" w:hAnsiTheme="minorHAnsi" w:cstheme="minorHAnsi"/>
          <w:lang w:val="sk-SK" w:eastAsia="en-US"/>
        </w:rPr>
        <w:t xml:space="preserve">Realizácia hlavných aktivít projektu zabezpečí vybudovanie cyklistických pruhov (ul. </w:t>
      </w:r>
      <w:proofErr w:type="spellStart"/>
      <w:r w:rsidRPr="008012D2">
        <w:rPr>
          <w:rFonts w:asciiTheme="minorHAnsi" w:eastAsiaTheme="minorHAnsi" w:hAnsiTheme="minorHAnsi" w:cstheme="minorHAnsi"/>
          <w:lang w:val="sk-SK" w:eastAsia="en-US"/>
        </w:rPr>
        <w:t>Prostějovská</w:t>
      </w:r>
      <w:proofErr w:type="spellEnd"/>
      <w:r w:rsidRPr="008012D2">
        <w:rPr>
          <w:rFonts w:asciiTheme="minorHAnsi" w:eastAsiaTheme="minorHAnsi" w:hAnsiTheme="minorHAnsi" w:cstheme="minorHAnsi"/>
          <w:lang w:val="sk-SK" w:eastAsia="en-US"/>
        </w:rPr>
        <w:t>, ul. Volgogradská),</w:t>
      </w:r>
    </w:p>
    <w:p w14:paraId="0AC94A96" w14:textId="77777777" w:rsidR="008012D2" w:rsidRPr="008012D2" w:rsidRDefault="008012D2" w:rsidP="008012D2">
      <w:pPr>
        <w:widowControl/>
        <w:adjustRightInd w:val="0"/>
        <w:ind w:left="284"/>
        <w:jc w:val="both"/>
        <w:rPr>
          <w:rFonts w:asciiTheme="minorHAnsi" w:eastAsiaTheme="minorHAnsi" w:hAnsiTheme="minorHAnsi" w:cstheme="minorHAnsi"/>
          <w:lang w:val="sk-SK" w:eastAsia="en-US"/>
        </w:rPr>
      </w:pPr>
      <w:proofErr w:type="spellStart"/>
      <w:r w:rsidRPr="008012D2">
        <w:rPr>
          <w:rFonts w:asciiTheme="minorHAnsi" w:eastAsiaTheme="minorHAnsi" w:hAnsiTheme="minorHAnsi" w:cstheme="minorHAnsi"/>
          <w:lang w:val="sk-SK" w:eastAsia="en-US"/>
        </w:rPr>
        <w:t>cyklocestičky</w:t>
      </w:r>
      <w:proofErr w:type="spellEnd"/>
      <w:r w:rsidRPr="008012D2">
        <w:rPr>
          <w:rFonts w:asciiTheme="minorHAnsi" w:eastAsiaTheme="minorHAnsi" w:hAnsiTheme="minorHAnsi" w:cstheme="minorHAnsi"/>
          <w:lang w:val="sk-SK" w:eastAsia="en-US"/>
        </w:rPr>
        <w:t xml:space="preserve"> (ul. Levočská), ochranných pruhov pre cyklistov (ul. 17. Novembra) a osadenie automatických </w:t>
      </w:r>
      <w:proofErr w:type="spellStart"/>
      <w:r w:rsidRPr="008012D2">
        <w:rPr>
          <w:rFonts w:asciiTheme="minorHAnsi" w:eastAsiaTheme="minorHAnsi" w:hAnsiTheme="minorHAnsi" w:cstheme="minorHAnsi"/>
          <w:lang w:val="sk-SK" w:eastAsia="en-US"/>
        </w:rPr>
        <w:t>sčítačov</w:t>
      </w:r>
      <w:proofErr w:type="spellEnd"/>
    </w:p>
    <w:p w14:paraId="271319CE" w14:textId="31D0B75B" w:rsidR="008012D2" w:rsidRPr="008012D2" w:rsidRDefault="008012D2" w:rsidP="008012D2">
      <w:pPr>
        <w:widowControl/>
        <w:adjustRightInd w:val="0"/>
        <w:ind w:left="284"/>
        <w:jc w:val="both"/>
        <w:rPr>
          <w:rFonts w:asciiTheme="minorHAnsi" w:eastAsiaTheme="minorHAnsi" w:hAnsiTheme="minorHAnsi" w:cstheme="minorHAnsi"/>
          <w:lang w:val="sk-SK" w:eastAsia="en-US"/>
        </w:rPr>
      </w:pPr>
      <w:r w:rsidRPr="008012D2">
        <w:rPr>
          <w:rFonts w:asciiTheme="minorHAnsi" w:eastAsiaTheme="minorHAnsi" w:hAnsiTheme="minorHAnsi" w:cstheme="minorHAnsi"/>
          <w:lang w:val="sk-SK" w:eastAsia="en-US"/>
        </w:rPr>
        <w:t xml:space="preserve">dopravy a </w:t>
      </w:r>
      <w:proofErr w:type="spellStart"/>
      <w:r w:rsidRPr="008012D2">
        <w:rPr>
          <w:rFonts w:asciiTheme="minorHAnsi" w:eastAsiaTheme="minorHAnsi" w:hAnsiTheme="minorHAnsi" w:cstheme="minorHAnsi"/>
          <w:lang w:val="sk-SK" w:eastAsia="en-US"/>
        </w:rPr>
        <w:t>cyklostojanov</w:t>
      </w:r>
      <w:proofErr w:type="spellEnd"/>
      <w:r w:rsidRPr="008012D2">
        <w:rPr>
          <w:rFonts w:asciiTheme="minorHAnsi" w:eastAsiaTheme="minorHAnsi" w:hAnsiTheme="minorHAnsi" w:cstheme="minorHAnsi"/>
          <w:lang w:val="sk-SK" w:eastAsia="en-US"/>
        </w:rPr>
        <w:t xml:space="preserve">. Realizáciou projektu sa zabezpečí plynulý a bezpečný prejazd cyklistov a chodcov v riešenom území, zvýši sa bezpečnosť všetkých účastníkov dopravy, prioritne cyklistov. Realizácia projektu taktiež rieši aj úpravy pre osoby s obmedzenou schopnosťou, orientácie a osôb so zdravotným postihnutím vychádzajúce z vyhlášky MŽP SR532/2002 </w:t>
      </w:r>
      <w:proofErr w:type="spellStart"/>
      <w:r w:rsidRPr="008012D2">
        <w:rPr>
          <w:rFonts w:asciiTheme="minorHAnsi" w:eastAsiaTheme="minorHAnsi" w:hAnsiTheme="minorHAnsi" w:cstheme="minorHAnsi"/>
          <w:lang w:val="sk-SK" w:eastAsia="en-US"/>
        </w:rPr>
        <w:t>Z.z</w:t>
      </w:r>
      <w:proofErr w:type="spellEnd"/>
      <w:r w:rsidRPr="008012D2">
        <w:rPr>
          <w:rFonts w:asciiTheme="minorHAnsi" w:eastAsiaTheme="minorHAnsi" w:hAnsiTheme="minorHAnsi" w:cstheme="minorHAnsi"/>
          <w:lang w:val="sk-SK" w:eastAsia="en-US"/>
        </w:rPr>
        <w:t xml:space="preserve">. , zákona č. 50/1976 </w:t>
      </w:r>
      <w:proofErr w:type="spellStart"/>
      <w:r w:rsidRPr="008012D2">
        <w:rPr>
          <w:rFonts w:asciiTheme="minorHAnsi" w:eastAsiaTheme="minorHAnsi" w:hAnsiTheme="minorHAnsi" w:cstheme="minorHAnsi"/>
          <w:lang w:val="sk-SK" w:eastAsia="en-US"/>
        </w:rPr>
        <w:t>Z.z</w:t>
      </w:r>
      <w:proofErr w:type="spellEnd"/>
      <w:r w:rsidRPr="008012D2">
        <w:rPr>
          <w:rFonts w:asciiTheme="minorHAnsi" w:eastAsiaTheme="minorHAnsi" w:hAnsiTheme="minorHAnsi" w:cstheme="minorHAnsi"/>
          <w:lang w:val="sk-SK" w:eastAsia="en-US"/>
        </w:rPr>
        <w:t xml:space="preserve">. , a vyhlášky 9/2009 </w:t>
      </w:r>
      <w:proofErr w:type="spellStart"/>
      <w:r w:rsidRPr="008012D2">
        <w:rPr>
          <w:rFonts w:asciiTheme="minorHAnsi" w:eastAsiaTheme="minorHAnsi" w:hAnsiTheme="minorHAnsi" w:cstheme="minorHAnsi"/>
          <w:lang w:val="sk-SK" w:eastAsia="en-US"/>
        </w:rPr>
        <w:t>Z.z</w:t>
      </w:r>
      <w:proofErr w:type="spellEnd"/>
      <w:r w:rsidRPr="008012D2">
        <w:rPr>
          <w:rFonts w:asciiTheme="minorHAnsi" w:eastAsiaTheme="minorHAnsi" w:hAnsiTheme="minorHAnsi" w:cstheme="minorHAnsi"/>
          <w:lang w:val="sk-SK" w:eastAsia="en-US"/>
        </w:rPr>
        <w:t>. , t. j. bezbariérové úpravy znížením obrubníkov v miestach priechodov pre cyklistov a v mieste napojení na miestne komunikácie. Takisto oddelenie cyklistov a chodcov je riešené prostredníctvom špeciálneho varovného pásu šírky 0,4m v zmysle TP10/2011. Týmto návrhom sa vytvoria podmienky pre prístup osobám so zdravotnými obmedzeniami. Projektom sa dosiahne zvýšenie atraktivity a prepravnej kapacity nemotorovej cyklistickej dopravy a zlepšenie infraštruktúry pre cyklistov dochádzajúcich do a zo zamestnania.</w:t>
      </w:r>
    </w:p>
    <w:p w14:paraId="23F459B1" w14:textId="77777777" w:rsidR="008012D2" w:rsidRPr="008012D2" w:rsidRDefault="008012D2" w:rsidP="008012D2">
      <w:pPr>
        <w:widowControl/>
        <w:adjustRightInd w:val="0"/>
        <w:ind w:left="284"/>
        <w:jc w:val="both"/>
        <w:rPr>
          <w:rFonts w:asciiTheme="minorHAnsi" w:eastAsiaTheme="minorHAnsi" w:hAnsiTheme="minorHAnsi" w:cstheme="minorHAnsi"/>
          <w:b/>
          <w:bCs/>
          <w:lang w:val="sk-SK" w:eastAsia="en-US"/>
        </w:rPr>
      </w:pPr>
      <w:r w:rsidRPr="008012D2">
        <w:rPr>
          <w:rFonts w:asciiTheme="minorHAnsi" w:eastAsiaTheme="minorHAnsi" w:hAnsiTheme="minorHAnsi" w:cstheme="minorHAnsi"/>
          <w:lang w:val="sk-SK" w:eastAsia="en-US"/>
        </w:rPr>
        <w:t>Nové cyklotrasy takisto zlepšia prepojenosť a dostupnosť existujúcich cyklistických komunikácií, čo umožní cyklistom lepšiu dostupnosť k existujúcej občianskej infraštruktúre a dôjde k zvýšeniu podiele cyklistickej dopravy na celkovej prepravnej práci.</w:t>
      </w:r>
      <w:r w:rsidRPr="008012D2">
        <w:rPr>
          <w:rFonts w:asciiTheme="minorHAnsi" w:eastAsiaTheme="minorHAnsi" w:hAnsiTheme="minorHAnsi" w:cstheme="minorHAnsi"/>
          <w:b/>
          <w:bCs/>
          <w:lang w:val="sk-SK" w:eastAsia="en-US"/>
        </w:rPr>
        <w:t xml:space="preserve"> </w:t>
      </w:r>
    </w:p>
    <w:p w14:paraId="5765C0CD" w14:textId="77777777" w:rsidR="008012D2" w:rsidRPr="008012D2" w:rsidRDefault="008012D2" w:rsidP="008012D2">
      <w:pPr>
        <w:widowControl/>
        <w:adjustRightInd w:val="0"/>
        <w:ind w:left="284"/>
        <w:jc w:val="both"/>
        <w:rPr>
          <w:rFonts w:asciiTheme="minorHAnsi" w:eastAsiaTheme="minorHAnsi" w:hAnsiTheme="minorHAnsi" w:cstheme="minorHAnsi"/>
          <w:b/>
          <w:bCs/>
          <w:lang w:val="sk-SK" w:eastAsia="en-US"/>
        </w:rPr>
      </w:pPr>
    </w:p>
    <w:p w14:paraId="425BDF85" w14:textId="7021AFE4" w:rsidR="00666509" w:rsidRPr="008012D2" w:rsidRDefault="00666509" w:rsidP="008012D2">
      <w:pPr>
        <w:widowControl/>
        <w:adjustRightInd w:val="0"/>
        <w:ind w:left="284"/>
        <w:jc w:val="both"/>
        <w:rPr>
          <w:rFonts w:asciiTheme="minorHAnsi" w:eastAsiaTheme="minorHAnsi" w:hAnsiTheme="minorHAnsi" w:cstheme="minorHAnsi"/>
          <w:b/>
          <w:bCs/>
          <w:lang w:val="sk-SK" w:eastAsia="en-US"/>
        </w:rPr>
      </w:pPr>
      <w:r w:rsidRPr="008012D2">
        <w:rPr>
          <w:rFonts w:asciiTheme="minorHAnsi" w:eastAsiaTheme="minorHAnsi" w:hAnsiTheme="minorHAnsi" w:cstheme="minorHAnsi"/>
          <w:lang w:val="sk-SK" w:eastAsia="en-US"/>
        </w:rPr>
        <w:t>Podrobný opis predmetu obstarávania je uvedený v PD a výkaze výmer, ktoré tvoria prílohu týchto SP.</w:t>
      </w:r>
    </w:p>
    <w:p w14:paraId="2147E96E" w14:textId="5ED2D7E2" w:rsidR="00E83723" w:rsidRPr="0088044B" w:rsidRDefault="00E83723" w:rsidP="0088044B">
      <w:pPr>
        <w:pStyle w:val="Nadpis1"/>
        <w:spacing w:before="72"/>
        <w:ind w:left="284"/>
        <w:jc w:val="both"/>
        <w:rPr>
          <w:rFonts w:asciiTheme="minorHAnsi" w:hAnsiTheme="minorHAnsi" w:cstheme="minorHAnsi"/>
          <w:b w:val="0"/>
          <w:bCs w:val="0"/>
          <w:color w:val="808080"/>
          <w:sz w:val="22"/>
          <w:szCs w:val="22"/>
        </w:rPr>
      </w:pPr>
    </w:p>
    <w:p w14:paraId="59B0D869" w14:textId="706B0FC7" w:rsidR="00E83723" w:rsidRPr="0088044B" w:rsidRDefault="00E83723" w:rsidP="0088044B">
      <w:pPr>
        <w:pStyle w:val="Nadpis1"/>
        <w:spacing w:before="72"/>
        <w:ind w:left="284"/>
        <w:jc w:val="both"/>
        <w:rPr>
          <w:rFonts w:asciiTheme="minorHAnsi" w:hAnsiTheme="minorHAnsi" w:cstheme="minorHAnsi"/>
          <w:b w:val="0"/>
          <w:bCs w:val="0"/>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A42987B" w:rsidR="008476D3" w:rsidRPr="00790D57" w:rsidRDefault="008476D3">
      <w:pPr>
        <w:pStyle w:val="Odsekzoznamu"/>
        <w:numPr>
          <w:ilvl w:val="0"/>
          <w:numId w:val="9"/>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8012D2">
        <w:rPr>
          <w:rFonts w:cstheme="minorHAnsi"/>
          <w:b/>
          <w:bCs/>
          <w:i/>
          <w:iCs/>
          <w:sz w:val="20"/>
          <w:szCs w:val="20"/>
        </w:rPr>
        <w:t>„</w:t>
      </w:r>
      <w:bookmarkStart w:id="9" w:name="_Hlk81511973"/>
      <w:bookmarkEnd w:id="7"/>
      <w:r w:rsidR="008012D2" w:rsidRPr="008012D2">
        <w:rPr>
          <w:rFonts w:cs="Arial"/>
          <w:b/>
          <w:bCs/>
          <w:i/>
          <w:iCs/>
          <w:sz w:val="20"/>
          <w:szCs w:val="20"/>
        </w:rPr>
        <w:t>Akčný plán pre zlepšenie podmienok cyklistickej infraštruktúry pomocou organizačných opatrení</w:t>
      </w:r>
      <w:r w:rsidR="00790D57" w:rsidRPr="008012D2">
        <w:rPr>
          <w:rFonts w:cstheme="minorHAnsi"/>
          <w:b/>
          <w:bCs/>
          <w:i/>
          <w:iCs/>
          <w:sz w:val="20"/>
          <w:szCs w:val="20"/>
        </w:rPr>
        <w:t xml:space="preserve">“ vyhlásenej vo </w:t>
      </w:r>
      <w:bookmarkEnd w:id="8"/>
      <w:bookmarkEnd w:id="9"/>
      <w:r w:rsidR="00C53A93" w:rsidRPr="008012D2">
        <w:rPr>
          <w:rFonts w:cstheme="minorHAnsi"/>
          <w:b/>
          <w:bCs/>
          <w:i/>
          <w:iCs/>
          <w:sz w:val="20"/>
          <w:szCs w:val="20"/>
        </w:rPr>
        <w:t xml:space="preserve">Vestníku </w:t>
      </w:r>
      <w:r w:rsidR="00C53A93" w:rsidRPr="00D53289">
        <w:rPr>
          <w:rFonts w:cstheme="minorHAnsi"/>
          <w:b/>
          <w:bCs/>
          <w:i/>
          <w:iCs/>
          <w:color w:val="000000" w:themeColor="text1"/>
          <w:sz w:val="20"/>
          <w:szCs w:val="20"/>
        </w:rPr>
        <w:t xml:space="preserve">č. </w:t>
      </w:r>
      <w:r w:rsidR="00D53289" w:rsidRPr="00D53289">
        <w:rPr>
          <w:rFonts w:cstheme="minorHAnsi"/>
          <w:b/>
          <w:bCs/>
          <w:i/>
          <w:iCs/>
          <w:sz w:val="20"/>
          <w:szCs w:val="20"/>
        </w:rPr>
        <w:t>272/2022 – 27.12.2022 pod č. 51150 - WYP</w:t>
      </w:r>
      <w:r w:rsidR="00D53289" w:rsidRPr="00790D57">
        <w:rPr>
          <w:rFonts w:cs="Arial"/>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1A3B8FA1"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8012D2" w:rsidRPr="008012D2">
        <w:rPr>
          <w:rFonts w:cstheme="minorHAnsi"/>
          <w:b/>
          <w:bCs/>
          <w:i/>
          <w:iCs/>
          <w:sz w:val="20"/>
          <w:szCs w:val="20"/>
        </w:rPr>
        <w:t>„</w:t>
      </w:r>
      <w:r w:rsidR="008012D2" w:rsidRPr="008012D2">
        <w:rPr>
          <w:rFonts w:cs="Arial"/>
          <w:b/>
          <w:bCs/>
          <w:i/>
          <w:iCs/>
          <w:sz w:val="20"/>
          <w:szCs w:val="20"/>
        </w:rPr>
        <w:t>Akčný plán pre zlepšenie podmienok cyklistickej infraštruktúry pomocou organizačných opatrení</w:t>
      </w:r>
      <w:r w:rsidR="008012D2" w:rsidRPr="008012D2">
        <w:rPr>
          <w:rFonts w:cstheme="minorHAnsi"/>
          <w:b/>
          <w:bCs/>
          <w:i/>
          <w:iCs/>
          <w:sz w:val="20"/>
          <w:szCs w:val="20"/>
        </w:rPr>
        <w:t xml:space="preserve">“ vyhlásenej vo Vestníku </w:t>
      </w:r>
      <w:r w:rsidR="008012D2" w:rsidRPr="008012D2">
        <w:rPr>
          <w:rFonts w:cstheme="minorHAnsi"/>
          <w:b/>
          <w:bCs/>
          <w:i/>
          <w:iCs/>
          <w:color w:val="000000" w:themeColor="text1"/>
          <w:sz w:val="20"/>
          <w:szCs w:val="20"/>
        </w:rPr>
        <w:t xml:space="preserve">č. </w:t>
      </w:r>
      <w:r w:rsidR="00D53289" w:rsidRPr="00D53289">
        <w:rPr>
          <w:rFonts w:cstheme="minorHAnsi"/>
          <w:b/>
          <w:bCs/>
          <w:i/>
          <w:iCs/>
          <w:sz w:val="20"/>
          <w:szCs w:val="20"/>
        </w:rPr>
        <w:t>272/2022 – 27.12.2022 pod č. 51150 - WYP</w:t>
      </w:r>
      <w:r w:rsidR="008012D2">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330F4E53"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8012D2" w:rsidRPr="00DC1884">
        <w:rPr>
          <w:rFonts w:asciiTheme="minorHAnsi" w:hAnsiTheme="minorHAnsi" w:cstheme="minorHAnsi"/>
          <w:b/>
          <w:bCs/>
          <w:i/>
          <w:iCs/>
        </w:rPr>
        <w:t xml:space="preserve">„Akčný plán pre zlepšenie podmienok cyklistickej </w:t>
      </w:r>
      <w:r w:rsidR="008012D2" w:rsidRPr="00D53289">
        <w:rPr>
          <w:rFonts w:asciiTheme="minorHAnsi" w:hAnsiTheme="minorHAnsi" w:cstheme="minorHAnsi"/>
          <w:b/>
          <w:bCs/>
          <w:i/>
          <w:iCs/>
        </w:rPr>
        <w:t xml:space="preserve">infraštruktúry pomocou organizačných opatrení“ vyhlásenej vo Vestníku </w:t>
      </w:r>
      <w:r w:rsidR="008012D2" w:rsidRPr="00D53289">
        <w:rPr>
          <w:rFonts w:asciiTheme="minorHAnsi" w:hAnsiTheme="minorHAnsi" w:cstheme="minorHAnsi"/>
          <w:b/>
          <w:bCs/>
          <w:i/>
          <w:iCs/>
          <w:color w:val="000000" w:themeColor="text1"/>
        </w:rPr>
        <w:t xml:space="preserve">č. </w:t>
      </w:r>
      <w:r w:rsidR="00D53289" w:rsidRPr="00D53289">
        <w:rPr>
          <w:rFonts w:asciiTheme="minorHAnsi" w:hAnsiTheme="minorHAnsi" w:cstheme="minorHAnsi"/>
          <w:b/>
          <w:bCs/>
          <w:i/>
          <w:iCs/>
        </w:rPr>
        <w:t>272/2022 – 27.12.2022 pod č. 51150 - WYP</w:t>
      </w:r>
      <w:r w:rsidRPr="00D53289">
        <w:rPr>
          <w:rFonts w:asciiTheme="minorHAnsi" w:hAnsiTheme="minorHAnsi" w:cstheme="minorHAnsi"/>
          <w:i/>
        </w:rPr>
        <w:t xml:space="preserve">, </w:t>
      </w:r>
      <w:r w:rsidRPr="00D53289">
        <w:rPr>
          <w:rFonts w:asciiTheme="minorHAnsi" w:hAnsiTheme="minorHAnsi" w:cstheme="minorHAnsi"/>
        </w:rPr>
        <w:t>ktoré sú určené vo výzve na predkladanie ponúk a v súťažných podkladoch a ich prílohách, v Zmluve a jej prílohách a</w:t>
      </w:r>
      <w:r w:rsidRPr="00E83723">
        <w:rPr>
          <w:rFonts w:asciiTheme="minorHAnsi" w:hAnsiTheme="minorHAnsi" w:cstheme="minorHAnsi"/>
        </w:rPr>
        <w:t xml:space="preserve">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3770453" w14:textId="393EED89" w:rsidR="00A1403A" w:rsidRPr="00FC6EDB" w:rsidRDefault="00000000"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00FC6EDB" w:rsidRPr="00FC6EDB">
          <w:rPr>
            <w:rStyle w:val="Hypertextovprepojenie"/>
            <w:rFonts w:asciiTheme="minorHAnsi" w:eastAsiaTheme="minorHAnsi" w:hAnsiTheme="minorHAnsi" w:cstheme="minorHAnsi"/>
            <w:b/>
            <w:bCs/>
            <w:sz w:val="22"/>
            <w:szCs w:val="22"/>
            <w:lang w:eastAsia="en-US"/>
          </w:rPr>
          <w:t>https://josephine.proebiz.com/sk/tender/36125/summary</w:t>
        </w:r>
      </w:hyperlink>
    </w:p>
    <w:p w14:paraId="2FF4F901" w14:textId="77777777" w:rsidR="00FC6EDB" w:rsidRPr="0067710C" w:rsidRDefault="00FC6EDB"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4BC880D7" w14:textId="4025B79F" w:rsidR="00944CAF" w:rsidRPr="00FC6EDB" w:rsidRDefault="00000000" w:rsidP="00C044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FC6EDB" w:rsidRPr="00FC6EDB">
          <w:rPr>
            <w:rStyle w:val="Hypertextovprepojenie"/>
            <w:rFonts w:asciiTheme="minorHAnsi" w:eastAsiaTheme="minorHAnsi" w:hAnsiTheme="minorHAnsi" w:cstheme="minorHAnsi"/>
            <w:b/>
            <w:bCs/>
            <w:sz w:val="22"/>
            <w:szCs w:val="22"/>
            <w:lang w:eastAsia="en-US"/>
          </w:rPr>
          <w:t>https://josephine.proebiz.com/sk/tender/36125/summary</w:t>
        </w:r>
      </w:hyperlink>
    </w:p>
    <w:p w14:paraId="4337AED3" w14:textId="77777777" w:rsidR="00FC6EDB" w:rsidRDefault="00FC6EDB"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77777777" w:rsidR="00944CAF" w:rsidRDefault="00944CA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46B1E4CE" w14:textId="4ADA4664" w:rsidR="00995BAE" w:rsidRDefault="00000000" w:rsidP="00FB613B">
      <w:pPr>
        <w:pStyle w:val="Zkladntext"/>
        <w:spacing w:before="120" w:after="120"/>
        <w:rPr>
          <w:rFonts w:ascii="Tahoma" w:eastAsiaTheme="minorHAnsi" w:hAnsi="Tahoma" w:cs="Tahoma"/>
          <w:sz w:val="18"/>
          <w:szCs w:val="18"/>
          <w:lang w:val="sk-SK" w:eastAsia="en-US"/>
        </w:rPr>
      </w:pPr>
      <w:hyperlink r:id="rId16" w:history="1">
        <w:r w:rsidR="00D53289" w:rsidRPr="0090098D">
          <w:rPr>
            <w:rStyle w:val="Hypertextovprepojenie"/>
            <w:rFonts w:ascii="Tahoma" w:eastAsiaTheme="minorHAnsi" w:hAnsi="Tahoma" w:cs="Tahoma"/>
            <w:sz w:val="18"/>
            <w:szCs w:val="18"/>
            <w:lang w:val="sk-SK" w:eastAsia="en-US"/>
          </w:rPr>
          <w:t>https://www.uvo.gov.sk/jednotny-europsky-dokument-pre-verejne-obstaravanie-602.html</w:t>
        </w:r>
      </w:hyperlink>
    </w:p>
    <w:p w14:paraId="6F84441A" w14:textId="77777777" w:rsidR="00D53289" w:rsidRPr="00995BAE" w:rsidRDefault="00D53289"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FABB" w14:textId="77777777" w:rsidR="00B85877" w:rsidRDefault="00B85877">
      <w:r>
        <w:separator/>
      </w:r>
    </w:p>
  </w:endnote>
  <w:endnote w:type="continuationSeparator" w:id="0">
    <w:p w14:paraId="57D1BB06" w14:textId="77777777" w:rsidR="00B85877" w:rsidRDefault="00B8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D5BB" w14:textId="77777777" w:rsidR="00B85877" w:rsidRDefault="00B85877">
      <w:r>
        <w:separator/>
      </w:r>
    </w:p>
  </w:footnote>
  <w:footnote w:type="continuationSeparator" w:id="0">
    <w:p w14:paraId="35424972" w14:textId="77777777" w:rsidR="00B85877" w:rsidRDefault="00B85877">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2"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4"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D60060"/>
    <w:multiLevelType w:val="multilevel"/>
    <w:tmpl w:val="115E992E"/>
    <w:lvl w:ilvl="0">
      <w:start w:val="25"/>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3"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15"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CE2DF6"/>
    <w:multiLevelType w:val="multilevel"/>
    <w:tmpl w:val="D0F25E46"/>
    <w:lvl w:ilvl="0">
      <w:start w:val="26"/>
      <w:numFmt w:val="decimal"/>
      <w:lvlText w:val="%1"/>
      <w:lvlJc w:val="left"/>
      <w:pPr>
        <w:ind w:left="384" w:hanging="384"/>
      </w:pPr>
      <w:rPr>
        <w:rFonts w:hint="default"/>
      </w:rPr>
    </w:lvl>
    <w:lvl w:ilvl="1">
      <w:start w:val="1"/>
      <w:numFmt w:val="decimal"/>
      <w:lvlText w:val="%1.%2"/>
      <w:lvlJc w:val="left"/>
      <w:pPr>
        <w:ind w:left="1224" w:hanging="384"/>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17"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19" w15:restartNumberingAfterBreak="0">
    <w:nsid w:val="55FF5695"/>
    <w:multiLevelType w:val="hybridMultilevel"/>
    <w:tmpl w:val="B23400EA"/>
    <w:lvl w:ilvl="0" w:tplc="93CC9F34">
      <w:start w:val="9"/>
      <w:numFmt w:val="bullet"/>
      <w:lvlText w:val="-"/>
      <w:lvlJc w:val="left"/>
      <w:pPr>
        <w:ind w:left="1429" w:hanging="360"/>
      </w:pPr>
      <w:rPr>
        <w:rFonts w:ascii="Calibri" w:eastAsia="Georgia"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2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1494027922">
    <w:abstractNumId w:val="18"/>
  </w:num>
  <w:num w:numId="2" w16cid:durableId="1843200191">
    <w:abstractNumId w:val="14"/>
  </w:num>
  <w:num w:numId="3" w16cid:durableId="962927156">
    <w:abstractNumId w:val="22"/>
  </w:num>
  <w:num w:numId="4" w16cid:durableId="722799509">
    <w:abstractNumId w:val="1"/>
  </w:num>
  <w:num w:numId="5" w16cid:durableId="655450115">
    <w:abstractNumId w:val="3"/>
  </w:num>
  <w:num w:numId="6" w16cid:durableId="1039086725">
    <w:abstractNumId w:val="13"/>
  </w:num>
  <w:num w:numId="7" w16cid:durableId="588539403">
    <w:abstractNumId w:val="9"/>
  </w:num>
  <w:num w:numId="8" w16cid:durableId="1273513292">
    <w:abstractNumId w:val="21"/>
  </w:num>
  <w:num w:numId="9" w16cid:durableId="1144664148">
    <w:abstractNumId w:val="7"/>
  </w:num>
  <w:num w:numId="10" w16cid:durableId="1722820600">
    <w:abstractNumId w:val="15"/>
  </w:num>
  <w:num w:numId="11" w16cid:durableId="1987973832">
    <w:abstractNumId w:val="17"/>
  </w:num>
  <w:num w:numId="12" w16cid:durableId="1870994070">
    <w:abstractNumId w:val="20"/>
  </w:num>
  <w:num w:numId="13" w16cid:durableId="1104229566">
    <w:abstractNumId w:val="5"/>
  </w:num>
  <w:num w:numId="14" w16cid:durableId="343635770">
    <w:abstractNumId w:val="6"/>
  </w:num>
  <w:num w:numId="15" w16cid:durableId="1362894865">
    <w:abstractNumId w:val="10"/>
  </w:num>
  <w:num w:numId="16" w16cid:durableId="1501002241">
    <w:abstractNumId w:val="12"/>
  </w:num>
  <w:num w:numId="17" w16cid:durableId="1502117617">
    <w:abstractNumId w:val="0"/>
  </w:num>
  <w:num w:numId="18" w16cid:durableId="865606821">
    <w:abstractNumId w:val="2"/>
  </w:num>
  <w:num w:numId="19" w16cid:durableId="1216545453">
    <w:abstractNumId w:val="11"/>
  </w:num>
  <w:num w:numId="20" w16cid:durableId="1521623198">
    <w:abstractNumId w:val="4"/>
  </w:num>
  <w:num w:numId="21" w16cid:durableId="249584252">
    <w:abstractNumId w:val="19"/>
  </w:num>
  <w:num w:numId="22" w16cid:durableId="214463834">
    <w:abstractNumId w:val="8"/>
  </w:num>
  <w:num w:numId="23" w16cid:durableId="49330491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0C671F"/>
    <w:rsid w:val="000D7716"/>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94D31"/>
    <w:rsid w:val="002977BD"/>
    <w:rsid w:val="002A1C88"/>
    <w:rsid w:val="002B4E12"/>
    <w:rsid w:val="002C522B"/>
    <w:rsid w:val="002C6BAC"/>
    <w:rsid w:val="002E15F9"/>
    <w:rsid w:val="002E6183"/>
    <w:rsid w:val="002F218C"/>
    <w:rsid w:val="002F7D1E"/>
    <w:rsid w:val="003050D0"/>
    <w:rsid w:val="0031065E"/>
    <w:rsid w:val="00314E9E"/>
    <w:rsid w:val="003156A1"/>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3E7AB4"/>
    <w:rsid w:val="0040071E"/>
    <w:rsid w:val="00402C3C"/>
    <w:rsid w:val="004105E2"/>
    <w:rsid w:val="004116B0"/>
    <w:rsid w:val="00413D56"/>
    <w:rsid w:val="00417B57"/>
    <w:rsid w:val="004278DD"/>
    <w:rsid w:val="00434AEF"/>
    <w:rsid w:val="00435C69"/>
    <w:rsid w:val="004449F1"/>
    <w:rsid w:val="00462745"/>
    <w:rsid w:val="0047601E"/>
    <w:rsid w:val="00476778"/>
    <w:rsid w:val="004816C7"/>
    <w:rsid w:val="00494033"/>
    <w:rsid w:val="00494F77"/>
    <w:rsid w:val="004A03AD"/>
    <w:rsid w:val="004A4A00"/>
    <w:rsid w:val="004A4B00"/>
    <w:rsid w:val="004B0B2E"/>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66509"/>
    <w:rsid w:val="0067710C"/>
    <w:rsid w:val="006862A6"/>
    <w:rsid w:val="006A1942"/>
    <w:rsid w:val="006A1EFE"/>
    <w:rsid w:val="006A51AE"/>
    <w:rsid w:val="006C1609"/>
    <w:rsid w:val="006C3236"/>
    <w:rsid w:val="006D1615"/>
    <w:rsid w:val="006D335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12D2"/>
    <w:rsid w:val="0080357F"/>
    <w:rsid w:val="0080418C"/>
    <w:rsid w:val="0081515A"/>
    <w:rsid w:val="00816191"/>
    <w:rsid w:val="008476D3"/>
    <w:rsid w:val="00850950"/>
    <w:rsid w:val="008521C9"/>
    <w:rsid w:val="00852AFE"/>
    <w:rsid w:val="0086650D"/>
    <w:rsid w:val="008759B1"/>
    <w:rsid w:val="0087632C"/>
    <w:rsid w:val="0088044B"/>
    <w:rsid w:val="00891489"/>
    <w:rsid w:val="008A0DF2"/>
    <w:rsid w:val="008A199A"/>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55328"/>
    <w:rsid w:val="00B57153"/>
    <w:rsid w:val="00B578CF"/>
    <w:rsid w:val="00B64F1C"/>
    <w:rsid w:val="00B70E31"/>
    <w:rsid w:val="00B774C7"/>
    <w:rsid w:val="00B85877"/>
    <w:rsid w:val="00B94673"/>
    <w:rsid w:val="00B95622"/>
    <w:rsid w:val="00BA64E2"/>
    <w:rsid w:val="00BB27D6"/>
    <w:rsid w:val="00BC571D"/>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027AE"/>
    <w:rsid w:val="00D045EF"/>
    <w:rsid w:val="00D14A8B"/>
    <w:rsid w:val="00D23C89"/>
    <w:rsid w:val="00D33161"/>
    <w:rsid w:val="00D53289"/>
    <w:rsid w:val="00D55162"/>
    <w:rsid w:val="00D77906"/>
    <w:rsid w:val="00D77B10"/>
    <w:rsid w:val="00DC1884"/>
    <w:rsid w:val="00DC59FE"/>
    <w:rsid w:val="00DC7352"/>
    <w:rsid w:val="00DD063C"/>
    <w:rsid w:val="00DD6F35"/>
    <w:rsid w:val="00DF7B0F"/>
    <w:rsid w:val="00E03838"/>
    <w:rsid w:val="00E04168"/>
    <w:rsid w:val="00E3206A"/>
    <w:rsid w:val="00E37000"/>
    <w:rsid w:val="00E4667D"/>
    <w:rsid w:val="00E67228"/>
    <w:rsid w:val="00E836AD"/>
    <w:rsid w:val="00E83723"/>
    <w:rsid w:val="00E85E9B"/>
    <w:rsid w:val="00E97BCB"/>
    <w:rsid w:val="00EB08F3"/>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61D8"/>
    <w:rsid w:val="00FA793F"/>
    <w:rsid w:val="00FB613B"/>
    <w:rsid w:val="00FB6FCC"/>
    <w:rsid w:val="00FC22FB"/>
    <w:rsid w:val="00FC43A2"/>
    <w:rsid w:val="00FC6EDB"/>
    <w:rsid w:val="00FD0812"/>
    <w:rsid w:val="00FE52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19"/>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19"/>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6125/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36125/summary" TargetMode="External"/><Relationship Id="rId10" Type="http://schemas.openxmlformats.org/officeDocument/2006/relationships/hyperlink" Target="https://josephine.proebiz.com/sk/tender/36125/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63" TargetMode="External"/><Relationship Id="rId14" Type="http://schemas.openxmlformats.org/officeDocument/2006/relationships/hyperlink" Target="https://josephine.proebiz.com/sk/tender/3612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32</Pages>
  <Words>9787</Words>
  <Characters>55791</Characters>
  <Application>Microsoft Office Word</Application>
  <DocSecurity>0</DocSecurity>
  <Lines>464</Lines>
  <Paragraphs>130</Paragraphs>
  <ScaleCrop>false</ScaleCrop>
  <HeadingPairs>
    <vt:vector size="4" baseType="variant">
      <vt:variant>
        <vt:lpstr>Názov</vt:lpstr>
      </vt:variant>
      <vt:variant>
        <vt:i4>1</vt:i4>
      </vt:variant>
      <vt:variant>
        <vt:lpstr>Nadpisy</vt:lpstr>
      </vt:variant>
      <vt:variant>
        <vt:i4>52</vt:i4>
      </vt:variant>
    </vt:vector>
  </HeadingPairs>
  <TitlesOfParts>
    <vt:vector size="53"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„Akčný plán pre zlepšenie podmienok cyklistickej infraštruktúry pomocou o</vt:lpstr>
      <vt:lpstr>DOROZUMIEVANIE A VYSVETĽOVANIE</vt:lpstr>
      <vt:lpstr/>
      <vt:lpstr>Časť III</vt:lpstr>
      <vt:lpstr>názov súťaže: „Akčný plán pre zlepšenie podmienok cyklistickej infraštruktúry po</vt:lpstr>
      <vt:lpstr>    Verejný obstarávateľ vyžaduje od uchádzača na zabezpečenie ponuky zloženie zábez</vt:lpstr>
      <vt:lpstr>    Zábezpeka je stanovená vo výške 14.000,00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30</cp:revision>
  <cp:lastPrinted>2022-04-01T11:19:00Z</cp:lastPrinted>
  <dcterms:created xsi:type="dcterms:W3CDTF">2021-02-23T19:27:00Z</dcterms:created>
  <dcterms:modified xsi:type="dcterms:W3CDTF">2022-12-27T11:39:00Z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