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EB442" w14:textId="03ED9F91" w:rsidR="00C845B8" w:rsidRPr="004B0FC4" w:rsidRDefault="00C845B8" w:rsidP="0003442E">
      <w:pPr>
        <w:pStyle w:val="Z-NazovZmluvy"/>
        <w:spacing w:after="120"/>
        <w:contextualSpacing w:val="0"/>
        <w:jc w:val="both"/>
        <w:rPr>
          <w:rFonts w:ascii="Arial" w:hAnsi="Arial" w:cs="Arial"/>
          <w:sz w:val="24"/>
          <w:szCs w:val="20"/>
        </w:rPr>
      </w:pPr>
      <w:r w:rsidRPr="004B0FC4">
        <w:rPr>
          <w:rFonts w:ascii="Arial" w:hAnsi="Arial" w:cs="Arial"/>
          <w:sz w:val="24"/>
          <w:szCs w:val="20"/>
        </w:rPr>
        <w:t>Príloha č.</w:t>
      </w:r>
      <w:r w:rsidR="004B0FC4">
        <w:rPr>
          <w:rFonts w:ascii="Arial" w:hAnsi="Arial" w:cs="Arial"/>
          <w:sz w:val="24"/>
          <w:szCs w:val="20"/>
        </w:rPr>
        <w:t> </w:t>
      </w:r>
      <w:r w:rsidRPr="004B0FC4">
        <w:rPr>
          <w:rFonts w:ascii="Arial" w:hAnsi="Arial" w:cs="Arial"/>
          <w:sz w:val="24"/>
          <w:szCs w:val="20"/>
        </w:rPr>
        <w:t>7 – Popis Biznis služieb</w:t>
      </w:r>
    </w:p>
    <w:tbl>
      <w:tblPr>
        <w:tblW w:w="140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402"/>
        <w:gridCol w:w="10602"/>
      </w:tblGrid>
      <w:tr w:rsidR="0058698A" w:rsidRPr="00C24A10" w14:paraId="0C4D6BAB" w14:textId="77777777" w:rsidTr="0058698A">
        <w:trPr>
          <w:trHeight w:hRule="exact" w:val="567"/>
        </w:trPr>
        <w:tc>
          <w:tcPr>
            <w:tcW w:w="34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5A34618" w14:textId="4AF85570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Biznis služba</w:t>
            </w:r>
          </w:p>
        </w:tc>
        <w:tc>
          <w:tcPr>
            <w:tcW w:w="106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C4B48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Popis</w:t>
            </w:r>
          </w:p>
        </w:tc>
      </w:tr>
      <w:tr w:rsidR="0058698A" w:rsidRPr="00C24A10" w14:paraId="525A7F79" w14:textId="77777777" w:rsidTr="0058698A">
        <w:trPr>
          <w:trHeight w:val="454"/>
        </w:trPr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11283872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Publikovanie a úprava elektronických služieb</w:t>
            </w:r>
          </w:p>
        </w:tc>
        <w:tc>
          <w:tcPr>
            <w:tcW w:w="1060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4F0A1F2A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má zabezpečiť evidenciu služieb a ich inštancií z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MetaIS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do Lokátora služieb.</w:t>
            </w:r>
          </w:p>
        </w:tc>
      </w:tr>
      <w:tr w:rsidR="0058698A" w:rsidRPr="00C24A10" w14:paraId="10E18B6E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74D9306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B22CB64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má zabezpečiť evidenciu nových služieb alebo ich inštancií na základe údajov z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MetaIS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30CF0315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37AEB51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466A4D9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má zabezpečiť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odregistráciu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služieb alebo ich inštancií na základe údajov z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MetaIS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5DDAF55D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10B605D6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20AA7FA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má zabezpečiť zasielanie atribút o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vypublikovanej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službe do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MetaIS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0350DCDF" w14:textId="77777777" w:rsidTr="0058698A">
        <w:trPr>
          <w:trHeight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403DEEE" w14:textId="47F7951C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Poskytovanie informácií o</w:t>
            </w:r>
            <w:r w:rsidR="0058698A"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službách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38C2AC1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evidovanej službe na základe jej identifikátora s možnosťou voľby jazyka.</w:t>
            </w:r>
          </w:p>
        </w:tc>
      </w:tr>
      <w:tr w:rsidR="0058698A" w:rsidRPr="00C24A10" w14:paraId="4AACF5C7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503617AD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6371853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evidovanej službe na základe jej identifikátora.</w:t>
            </w:r>
          </w:p>
        </w:tc>
      </w:tr>
      <w:tr w:rsidR="0058698A" w:rsidRPr="00C24A10" w14:paraId="67DFA482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685DB406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DD0371F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zoznam služieb na základe vstupných parametrov.</w:t>
            </w:r>
          </w:p>
        </w:tc>
      </w:tr>
      <w:tr w:rsidR="0058698A" w:rsidRPr="00C24A10" w14:paraId="095CAAC5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09B6FFFF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C879B46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zoznam služieb na základe vstupných parametrov o možnosť voľby jazyka.</w:t>
            </w:r>
          </w:p>
        </w:tc>
      </w:tr>
      <w:tr w:rsidR="0058698A" w:rsidRPr="00C24A10" w14:paraId="73A42F1C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430FEEF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54FDB7D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prístupu do DB pre údaje o službách pre Prístupový komponent UPVS</w:t>
            </w:r>
          </w:p>
        </w:tc>
      </w:tr>
      <w:tr w:rsidR="0058698A" w:rsidRPr="00C24A10" w14:paraId="13B03E33" w14:textId="77777777" w:rsidTr="0058698A">
        <w:trPr>
          <w:trHeight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7CB04A2B" w14:textId="34AE5CB4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informácií o</w:t>
            </w:r>
            <w:r w:rsidR="00BD6680"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inštanciách služby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21A3D59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poskytne zoznam inštancií služieb zmenených od zadaného dátumu. </w:t>
            </w:r>
          </w:p>
        </w:tc>
      </w:tr>
      <w:tr w:rsidR="0058698A" w:rsidRPr="00C24A10" w14:paraId="6A3C9089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6B4EED36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DEF23C8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poskytne inštanciu alebo zoznam inštancií na základe zadaného parametra.</w:t>
            </w:r>
          </w:p>
        </w:tc>
      </w:tr>
      <w:tr w:rsidR="0058698A" w:rsidRPr="00C24A10" w14:paraId="32799624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3081D2A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F7B264F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inštancii služby na základe vstupných parametrov (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MetaIsCode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alebo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ServiceCode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a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RecipientId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).</w:t>
            </w:r>
          </w:p>
        </w:tc>
      </w:tr>
      <w:tr w:rsidR="0058698A" w:rsidRPr="00C24A10" w14:paraId="6C9A0818" w14:textId="77777777" w:rsidTr="0058698A">
        <w:trPr>
          <w:trHeight w:val="454"/>
        </w:trPr>
        <w:tc>
          <w:tcPr>
            <w:tcW w:w="3402" w:type="dxa"/>
            <w:vMerge/>
            <w:vAlign w:val="center"/>
            <w:hideMark/>
          </w:tcPr>
          <w:p w14:paraId="7D81BD3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544D486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zozname inštancii služieb na základe vstupných parametrov (externých kódov).</w:t>
            </w:r>
          </w:p>
        </w:tc>
      </w:tr>
      <w:tr w:rsidR="0058698A" w:rsidRPr="00C24A10" w14:paraId="7E69646D" w14:textId="77777777" w:rsidTr="0058698A">
        <w:trPr>
          <w:trHeight w:hRule="exact" w:val="567"/>
        </w:trPr>
        <w:tc>
          <w:tcPr>
            <w:tcW w:w="3402" w:type="dxa"/>
            <w:vMerge/>
            <w:vAlign w:val="center"/>
            <w:hideMark/>
          </w:tcPr>
          <w:p w14:paraId="6C3584D1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C3528C1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Služba poskytuje informácie o zozname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inšanciíí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služieb na základe vstupných parametrov (externých kódov) s možnosťou voľby jazyka.</w:t>
            </w:r>
          </w:p>
        </w:tc>
      </w:tr>
      <w:tr w:rsidR="0058698A" w:rsidRPr="00C24A10" w14:paraId="20B21DF0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2C3EB484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C9FFCCC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evidovanej inštancií služby na základe jej číselného identifikátora s možnosťou voľby jazyka.</w:t>
            </w:r>
          </w:p>
        </w:tc>
      </w:tr>
      <w:tr w:rsidR="0058698A" w:rsidRPr="00C24A10" w14:paraId="29559615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C33558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86517FA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evidovanej inštancií služby na základe jej číselného identifikátora.</w:t>
            </w:r>
          </w:p>
        </w:tc>
      </w:tr>
      <w:tr w:rsidR="0058698A" w:rsidRPr="00C24A10" w14:paraId="45666381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536B6950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AB3F90E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zozname dokumentov (formulárov) pre zadanú inštanciu služby.</w:t>
            </w:r>
          </w:p>
        </w:tc>
      </w:tr>
      <w:tr w:rsidR="0058698A" w:rsidRPr="00C24A10" w14:paraId="341EEF44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404286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E8EB768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zozname dokumentov (formulárov) pre zadanú inštanciu služby s možnosťou voľby jazyka.</w:t>
            </w:r>
          </w:p>
        </w:tc>
      </w:tr>
      <w:tr w:rsidR="0058698A" w:rsidRPr="00C24A10" w14:paraId="239C7547" w14:textId="77777777" w:rsidTr="0058698A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21CDDF6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lastRenderedPageBreak/>
              <w:t>Vytváranie služieb a inštancií služieb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200CBEF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vytvorenie služby do Lokátora služieb.</w:t>
            </w:r>
          </w:p>
        </w:tc>
      </w:tr>
      <w:tr w:rsidR="0058698A" w:rsidRPr="00C24A10" w14:paraId="25A77F22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444BFC89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223E225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vytvorenie inštancie služby do Lokátora služieb.</w:t>
            </w:r>
          </w:p>
        </w:tc>
      </w:tr>
      <w:tr w:rsidR="0058698A" w:rsidRPr="00C24A10" w14:paraId="2FA2579A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25C4FF1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17AD0A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úpravu parametrov služby v Lokátore služieb.</w:t>
            </w:r>
          </w:p>
        </w:tc>
      </w:tr>
      <w:tr w:rsidR="0058698A" w:rsidRPr="00C24A10" w14:paraId="7AD775F8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20781BF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50924D8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úpravu parametrov inštancie služby v Lokátore služieb.</w:t>
            </w:r>
          </w:p>
        </w:tc>
      </w:tr>
      <w:tr w:rsidR="0058698A" w:rsidRPr="00C24A10" w14:paraId="714E7E2F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36D59378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A873D7C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zmazanie služby v Lokátore služieb.</w:t>
            </w:r>
          </w:p>
        </w:tc>
      </w:tr>
      <w:tr w:rsidR="0058698A" w:rsidRPr="00C24A10" w14:paraId="5C3BF56E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B4BBD7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3B184AE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zmazanie inštancie služby v Lokátore služieb.</w:t>
            </w:r>
          </w:p>
        </w:tc>
      </w:tr>
      <w:tr w:rsidR="0058698A" w:rsidRPr="00C24A10" w14:paraId="05F70003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3435E39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A825B57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zaslanie stavu služby v Lokátore služieb.</w:t>
            </w:r>
          </w:p>
        </w:tc>
      </w:tr>
      <w:tr w:rsidR="0058698A" w:rsidRPr="00C24A10" w14:paraId="20C4B90A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FC830A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E0068E3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zabezpečí zaslanie stavu inštancie služby v Lokátore služieb.</w:t>
            </w:r>
          </w:p>
        </w:tc>
      </w:tr>
      <w:tr w:rsidR="0058698A" w:rsidRPr="00C24A10" w14:paraId="7D0827B4" w14:textId="77777777" w:rsidTr="0058698A">
        <w:trPr>
          <w:trHeight w:hRule="exact" w:val="567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5FB6FC1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Evidencia bankových účtov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9FAFEA8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slúži na registráciu bankových účtov, k službám preneseného výkonu štátnej správy, pomocou formulára LS_REGISTRATION_BANK_CONNECTION_REQ_01</w:t>
            </w:r>
          </w:p>
        </w:tc>
      </w:tr>
      <w:tr w:rsidR="0058698A" w:rsidRPr="00C24A10" w14:paraId="2F5C4F20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3CE818D4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F0D6159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slúži na zaslanie zoznamu bankových účtov inštitúcie podľa zadaných kritérií.</w:t>
            </w:r>
          </w:p>
        </w:tc>
      </w:tr>
      <w:tr w:rsidR="0058698A" w:rsidRPr="00C24A10" w14:paraId="59001C27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3545685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587E244" w14:textId="5C9D3C72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slúži na zaslanie bankového spojenia inštit</w:t>
            </w:r>
            <w:r w:rsidR="008C1B6E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ú</w:t>
            </w: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cie na základe jej identifikátora.</w:t>
            </w:r>
          </w:p>
        </w:tc>
      </w:tr>
      <w:tr w:rsidR="0058698A" w:rsidRPr="00C24A10" w14:paraId="1F59700B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7444DFA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145018E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evidovanej službe na základe jej identifikátora s možnosťou voľby jazyka.</w:t>
            </w:r>
          </w:p>
        </w:tc>
      </w:tr>
      <w:tr w:rsidR="0058698A" w:rsidRPr="00C24A10" w14:paraId="344CB4CD" w14:textId="77777777" w:rsidTr="0058698A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52C061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informácií o inštitúciách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4F2DE73" w14:textId="31E575F6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inštitúcií na základe jej identifikátorov.</w:t>
            </w:r>
          </w:p>
        </w:tc>
      </w:tr>
      <w:tr w:rsidR="0058698A" w:rsidRPr="00C24A10" w14:paraId="2D59D363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7DC0D9D6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A71DDE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inštitúciách na základe jej identifikátorov.</w:t>
            </w:r>
          </w:p>
        </w:tc>
      </w:tr>
      <w:tr w:rsidR="0058698A" w:rsidRPr="00C24A10" w14:paraId="47100D06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A0F3DD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5C4B992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inštitúcií na základe jej identifikátorov s možnosťou výberu jazyka.</w:t>
            </w:r>
          </w:p>
        </w:tc>
      </w:tr>
      <w:tr w:rsidR="0058698A" w:rsidRPr="00C24A10" w14:paraId="724D91DE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4DD08A1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44EE900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poskytuje informácie o inštitúciách na základe jej identifikátorov s možnosťou výberu jazyka.</w:t>
            </w:r>
          </w:p>
        </w:tc>
      </w:tr>
      <w:tr w:rsidR="0058698A" w:rsidRPr="00C24A10" w14:paraId="01B5414E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24E1EEE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A97EEEA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vráti zoznam inštitúcií zmenených po zadanom dátume.</w:t>
            </w:r>
          </w:p>
        </w:tc>
      </w:tr>
      <w:tr w:rsidR="0058698A" w:rsidRPr="00C24A10" w14:paraId="24BCD97B" w14:textId="77777777" w:rsidTr="0058698A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21970CF4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AD8A849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Služba vrátiť zoznam inštitúcie alebo inštitúcií, na základe parametrov.</w:t>
            </w:r>
          </w:p>
        </w:tc>
      </w:tr>
      <w:tr w:rsidR="0058698A" w:rsidRPr="00C24A10" w14:paraId="7D5AFAA8" w14:textId="77777777" w:rsidTr="0058698A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7BEFF8C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Monitoring a analýza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028EEB9" w14:textId="0235CFF6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Zber metrík, agregovanie dát a generovanie reportov.</w:t>
            </w:r>
          </w:p>
        </w:tc>
      </w:tr>
      <w:tr w:rsidR="0058698A" w:rsidRPr="00C24A10" w14:paraId="73B361A4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264EFBDD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Online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dizajnovanie</w:t>
            </w:r>
            <w:proofErr w:type="spellEnd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formulára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F211870" w14:textId="6C670D8C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Služba na online dizajnovanie formulára. Službu budú používať rôzne OVM. Výsledkom bude vygenerovaný formulár v súlade s vyhláškou vo formáte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zip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, ktorý tvorca formulára umiestni na MEF prípadne si ho stiahne k sebe.</w:t>
            </w:r>
          </w:p>
        </w:tc>
      </w:tr>
      <w:tr w:rsidR="0058698A" w:rsidRPr="00C24A10" w14:paraId="62011B5E" w14:textId="77777777" w:rsidTr="00595970">
        <w:trPr>
          <w:trHeight w:hRule="exact" w:val="794"/>
        </w:trPr>
        <w:tc>
          <w:tcPr>
            <w:tcW w:w="3402" w:type="dxa"/>
            <w:shd w:val="clear" w:color="auto" w:fill="auto"/>
            <w:vAlign w:val="center"/>
            <w:hideMark/>
          </w:tcPr>
          <w:p w14:paraId="43B5D26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lastRenderedPageBreak/>
              <w:t>Testovanie formulára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156978F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Testovanie s príkladnými hodnotami pre jednotlivé atribúty (hodnota pre náhľad). Uvedené funkcia má prepojenie na funkciu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runtime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prostredia, ktorá generuje vizualizáciu formulára.  Zobrazenie formulára aj s dátami -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preview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mód. Súčasťou formulára budú príkladné dáta pre prezeranie, vyžadujúce role tester.</w:t>
            </w:r>
          </w:p>
        </w:tc>
      </w:tr>
      <w:tr w:rsidR="0058698A" w:rsidRPr="00C24A10" w14:paraId="015BB57A" w14:textId="77777777" w:rsidTr="00595970">
        <w:trPr>
          <w:trHeight w:hRule="exact" w:val="794"/>
        </w:trPr>
        <w:tc>
          <w:tcPr>
            <w:tcW w:w="3402" w:type="dxa"/>
            <w:shd w:val="clear" w:color="auto" w:fill="auto"/>
            <w:vAlign w:val="center"/>
            <w:hideMark/>
          </w:tcPr>
          <w:p w14:paraId="5F83DDD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 Vizualizácia formulárov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0E30C4C" w14:textId="770FE979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Runtime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prostredie pre zobrazenie vizualizácií (vizualizácia pre vyplnenie formulára, podpisová, zobrazovacia, tlačová, mobilná). Samotný dátový súbor vyplnený podľa formulára obsahuje len odkaz na použitý formulár (šablónu). Použitý formulár (šablóna) sa nachádza v module MEF. Z uvedeného dôvodu pri zobrazení formulára je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dotazovaný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modul MEF - prostredníctvom rozhraní.</w:t>
            </w:r>
          </w:p>
        </w:tc>
      </w:tr>
      <w:tr w:rsidR="0058698A" w:rsidRPr="00C24A10" w14:paraId="1C1F4A26" w14:textId="77777777" w:rsidTr="00D36507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364DB215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Správa komponentov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DB5A246" w14:textId="794A190B" w:rsidR="00C24A10" w:rsidRPr="0058698A" w:rsidRDefault="00C24A10" w:rsidP="00595970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Funkcionalita, ktorá obsahuje sadu štandardné komponentov (napríklad nadpis, statický text, textové pole), centrálny objektového model vrátane priradenia zdrojových systémov a rozhraní pre získavanie dát.</w:t>
            </w:r>
          </w:p>
        </w:tc>
      </w:tr>
      <w:tr w:rsidR="0058698A" w:rsidRPr="00C24A10" w14:paraId="601E1D57" w14:textId="77777777" w:rsidTr="00D36507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776C4ACD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Konfigurácia nastavení modulu eForm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07E80C1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Business služba je určená pre správcu aplikácie. Zahŕňa funkcie pre nastavenie modulu eForm. Pomocou nastavení je možné meniť správanie sa niektorých funkcií modulu eForm. </w:t>
            </w:r>
          </w:p>
        </w:tc>
      </w:tr>
      <w:tr w:rsidR="0058698A" w:rsidRPr="00C24A10" w14:paraId="79F56B8A" w14:textId="77777777" w:rsidTr="00D36507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7E58796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číselníkových dát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3366CB7" w14:textId="371B0D75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dát číselníka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5CC5594D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572B7CC6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3A5EAAA5" w14:textId="483A3DBC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zoznamu číselníkov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7FE6E208" w14:textId="77777777" w:rsidTr="00D36507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9FFC541" w14:textId="72ABF169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Vytváranie a zmena číselníkov a číselníkových položiek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43EFFC5" w14:textId="7B16F49C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Vytvorenie číselníka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A87EFC8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577A5952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BC187EB" w14:textId="6D2986CD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Zmazanie číselníka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559C306A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C0681F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0B5481C" w14:textId="361B5E53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Zápis zmenených atribútov číselníka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6F068DEC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3FA2EF8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FE8BF7B" w14:textId="079716D3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Vytvorenie položky do číselníka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480464FF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97F986F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F07C459" w14:textId="6C0B63C6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Oprava položky v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číselníku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711102B0" w14:textId="77777777" w:rsidTr="00D36507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6BA35C3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5163C37" w14:textId="3E94D8CC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Zmazanie položky v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číselníku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8AE1C01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34A10BC1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Monitoring a analýza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14CC1A8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Zber metrík, agregovanie dát a generovanie reportov. </w:t>
            </w:r>
          </w:p>
        </w:tc>
      </w:tr>
      <w:tr w:rsidR="0058698A" w:rsidRPr="00C24A10" w14:paraId="081A41AB" w14:textId="77777777" w:rsidTr="00595970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6A752143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formulára na vypĺňanie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A89EB72" w14:textId="3827FE91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vizualizácie formulára na základe identifikátora vzoru elektronického formulára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6D51E8E1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7255FB02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78B7D47" w14:textId="3190586D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vizualizácie formulára na základe vstupného XML vyplneného formulára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076CB2ED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7A5FE2A4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 xml:space="preserve">Poskytnutie dát na </w:t>
            </w:r>
            <w:proofErr w:type="spellStart"/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predvypĺňanie</w:t>
            </w:r>
            <w:proofErr w:type="spellEnd"/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B86A4CA" w14:textId="0465BC41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Poskytnutie dát na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predvypĺňanie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položky alebo sekcie na základe vstupu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3E1B02FA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7018E3E5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Validácia elektronického formulára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5EBB212" w14:textId="46996EFA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Validuj vyplnené XML voči XSD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56A52865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2D4E11A1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vyplneného XML z elektronického formulára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7071B0A" w14:textId="20D10726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vyplneného XML z elektronického formulára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3743DC4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190B9BC3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lastRenderedPageBreak/>
              <w:t>Monitoring a analýza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D633EFC" w14:textId="7777777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Zber metrík, agregovanie dát a generovanie reportov. </w:t>
            </w:r>
          </w:p>
        </w:tc>
      </w:tr>
      <w:tr w:rsidR="0058698A" w:rsidRPr="00C24A10" w14:paraId="38E4F5F3" w14:textId="77777777" w:rsidTr="00595970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6D723130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Zobrazenie elektronického podania alebo rozhodnutia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0D5E5FD" w14:textId="349992FD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Zobrazenie elektronického podania na základe identifikátora elektronickej služby a inštancie elektronickej služby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40E10698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42BC395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9F115E0" w14:textId="16FF1BDF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Zobrazenie elektronického podania na základe identifikátora rozpracovaného podania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A16F178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13C6D55B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Zobrazenie šablóny elektronického podania na editovanie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DF3B942" w14:textId="6824A28E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Zobrazenie šablóny elektronického podania na editáciu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79389E1B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7D3A4FEC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Validácia elektronického podania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1190DF1" w14:textId="4EFD8D59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Validuj vyplnené elektronické podanie na základe predpisu pre dané podanie v </w:t>
            </w:r>
            <w:proofErr w:type="spellStart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lokátore</w:t>
            </w:r>
            <w:proofErr w:type="spellEnd"/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 xml:space="preserve"> služieb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6BCC1BD1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0C165D8F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validačného reportu pre rozpracované elektronické podanie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10FF237" w14:textId="7B53D5D9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Poskytni validačný report pre rozpracované podanie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231EEAEF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10541A17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Uloženie rozpracovaného podania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05798CE5" w14:textId="2E3C8495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Uloženie rozpracovaného podania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A1522DF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7427A013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Uloženie šablóny elektronického podania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F34DD28" w14:textId="28FDA8D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Uloženie rozpracovaného elektronického podania, alebo šablóny elektronického podania ako šablónu elektronického podania</w:t>
            </w:r>
            <w:r w:rsidR="00595970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11EC5E84" w14:textId="77777777" w:rsidTr="00595970">
        <w:trPr>
          <w:trHeight w:hRule="exact" w:val="567"/>
        </w:trPr>
        <w:tc>
          <w:tcPr>
            <w:tcW w:w="3402" w:type="dxa"/>
            <w:shd w:val="clear" w:color="auto" w:fill="auto"/>
            <w:vAlign w:val="center"/>
            <w:hideMark/>
          </w:tcPr>
          <w:p w14:paraId="37E78899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Odoslanie elektronického podania alebo rozhodnutia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8702947" w14:textId="4A4F3031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Odoslanie vyplneného elektronického podania na G2G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0AFA7D9E" w14:textId="77777777" w:rsidTr="00595970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33F299A3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Zápis a zmena príloh k elektronickému podaniu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CFCD814" w14:textId="6DE6B2E9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Pridanie prílohy k rozpracovanému elektronickému podaniu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4F076B76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46B1BDBC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BC8BD00" w14:textId="660AFBA4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Odobratie prílohy z rozpracovaného elektronického podania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25BE028A" w14:textId="77777777" w:rsidTr="00595970">
        <w:trPr>
          <w:trHeight w:hRule="exact" w:val="454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6AB26C20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 príloh k elektronickému podaniu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9EAF4CB" w14:textId="5C022774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zoznamu príloh pridaným k rozpracovanému elektronickému podaniu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4A464F0D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574261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53E66F3D" w14:textId="4FB12028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Poskytnutie prílohy pridanej k rozpracovanému elektronickému podaniu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2614AB55" w14:textId="77777777" w:rsidTr="00595970">
        <w:trPr>
          <w:trHeight w:hRule="exact" w:val="567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0653820A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Poskytnutie informácii o podpise na prílohe alebo formulári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4CB064B7" w14:textId="348B0FB7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Služba prostredníctvom integrácii na centrálne komponenty poskytne informácie o podpise na prílohe pridanej k elekt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r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o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n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ickému podaniu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23656D3C" w14:textId="77777777" w:rsidTr="00595970">
        <w:trPr>
          <w:trHeight w:hRule="exact" w:val="454"/>
        </w:trPr>
        <w:tc>
          <w:tcPr>
            <w:tcW w:w="3402" w:type="dxa"/>
            <w:vMerge/>
            <w:vAlign w:val="center"/>
            <w:hideMark/>
          </w:tcPr>
          <w:p w14:paraId="01FD901C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778E266F" w14:textId="476C6DD2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Služba prostredníctvom integrácii na centrálne komponenty poskytne informácie o podpise na formulári elektronického podania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07AA19C1" w14:textId="77777777" w:rsidTr="00595970">
        <w:trPr>
          <w:trHeight w:hRule="exact" w:val="567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051C5969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Podpísanie prílohy alebo elektronického formulára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2B9ED6FB" w14:textId="4A2248BC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Služba prostredníctvom integrácie na podpisový komponent zabezpečí podpísanie prílohy a vloženie informácii o podpise do</w:t>
            </w:r>
            <w:r w:rsidR="0003442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elektronickej správy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415CEAE9" w14:textId="77777777" w:rsidTr="00595970">
        <w:trPr>
          <w:trHeight w:hRule="exact" w:val="567"/>
        </w:trPr>
        <w:tc>
          <w:tcPr>
            <w:tcW w:w="3402" w:type="dxa"/>
            <w:vMerge/>
            <w:vAlign w:val="center"/>
            <w:hideMark/>
          </w:tcPr>
          <w:p w14:paraId="23AAA7EE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64F90C62" w14:textId="402BAB79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Služba prostredníctvom integrácie na podpisový komponent zabezpečí podpísanie formulára a vloženie informácii o podpise do</w:t>
            </w:r>
            <w:r w:rsidR="0003442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 </w:t>
            </w: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elektronickej správy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.</w:t>
            </w:r>
          </w:p>
        </w:tc>
      </w:tr>
      <w:tr w:rsidR="0058698A" w:rsidRPr="00C24A10" w14:paraId="0923DD9D" w14:textId="77777777" w:rsidTr="00595970">
        <w:trPr>
          <w:trHeight w:hRule="exact" w:val="454"/>
        </w:trPr>
        <w:tc>
          <w:tcPr>
            <w:tcW w:w="3402" w:type="dxa"/>
            <w:shd w:val="clear" w:color="auto" w:fill="auto"/>
            <w:vAlign w:val="center"/>
            <w:hideMark/>
          </w:tcPr>
          <w:p w14:paraId="24ACC849" w14:textId="77777777" w:rsidR="00C24A10" w:rsidRPr="0058698A" w:rsidRDefault="00C24A10" w:rsidP="005869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sk-SK"/>
                <w14:ligatures w14:val="none"/>
              </w:rPr>
              <w:t>Monitoring a analýza </w:t>
            </w:r>
          </w:p>
        </w:tc>
        <w:tc>
          <w:tcPr>
            <w:tcW w:w="10602" w:type="dxa"/>
            <w:shd w:val="clear" w:color="auto" w:fill="auto"/>
            <w:vAlign w:val="center"/>
            <w:hideMark/>
          </w:tcPr>
          <w:p w14:paraId="138C519E" w14:textId="72B64E55" w:rsidR="00C24A10" w:rsidRPr="0058698A" w:rsidRDefault="00C24A10" w:rsidP="0058698A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</w:pPr>
            <w:r w:rsidRPr="0058698A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Zber metrík, agregovanie dát a generovanie reporto</w:t>
            </w:r>
            <w:r w:rsidR="008C1B6E">
              <w:rPr>
                <w:rFonts w:ascii="Arial" w:eastAsia="Times New Roman" w:hAnsi="Arial" w:cs="Arial"/>
                <w:kern w:val="0"/>
                <w:sz w:val="18"/>
                <w:szCs w:val="18"/>
                <w:lang w:eastAsia="sk-SK"/>
                <w14:ligatures w14:val="none"/>
              </w:rPr>
              <w:t>v.</w:t>
            </w:r>
          </w:p>
        </w:tc>
      </w:tr>
    </w:tbl>
    <w:p w14:paraId="47648D35" w14:textId="77777777" w:rsidR="00DA35F9" w:rsidRDefault="00DA35F9" w:rsidP="00DA35F9"/>
    <w:sectPr w:rsidR="00DA35F9" w:rsidSect="0003442E">
      <w:footerReference w:type="default" r:id="rId11"/>
      <w:pgSz w:w="16838" w:h="11906" w:orient="landscape" w:code="9"/>
      <w:pgMar w:top="1418" w:right="1418" w:bottom="1021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0EBC3" w14:textId="77777777" w:rsidR="00B4139E" w:rsidRDefault="00B4139E" w:rsidP="00B4139E">
      <w:pPr>
        <w:spacing w:after="0" w:line="240" w:lineRule="auto"/>
      </w:pPr>
      <w:r>
        <w:separator/>
      </w:r>
    </w:p>
  </w:endnote>
  <w:endnote w:type="continuationSeparator" w:id="0">
    <w:p w14:paraId="00156E6B" w14:textId="77777777" w:rsidR="00B4139E" w:rsidRDefault="00B4139E" w:rsidP="00B41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77886" w14:textId="6535AAC6" w:rsidR="00B4139E" w:rsidRPr="00B4139E" w:rsidRDefault="00B4139E" w:rsidP="00B4139E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  <w:szCs w:val="18"/>
      </w:rPr>
    </w:pPr>
    <w:r w:rsidRPr="00B4139E">
      <w:rPr>
        <w:rFonts w:ascii="Arial" w:hAnsi="Arial" w:cs="Arial"/>
        <w:sz w:val="17"/>
        <w:szCs w:val="17"/>
      </w:rPr>
      <w:t>Dizajnér, lokátor a konštruktor (P</w:t>
    </w:r>
    <w:r w:rsidR="00CE0B2B">
      <w:rPr>
        <w:rFonts w:ascii="Arial" w:hAnsi="Arial" w:cs="Arial"/>
        <w:sz w:val="17"/>
        <w:szCs w:val="17"/>
      </w:rPr>
      <w:t>7</w:t>
    </w:r>
    <w:r w:rsidRPr="00B4139E">
      <w:rPr>
        <w:rFonts w:ascii="Arial" w:hAnsi="Arial" w:cs="Arial"/>
        <w:sz w:val="17"/>
        <w:szCs w:val="17"/>
      </w:rPr>
      <w:t>)</w:t>
    </w:r>
    <w:r w:rsidRPr="00B4139E">
      <w:rPr>
        <w:rFonts w:ascii="Arial" w:hAnsi="Arial" w:cs="Arial"/>
        <w:sz w:val="17"/>
        <w:szCs w:val="17"/>
      </w:rPr>
      <w:tab/>
      <w:t xml:space="preserve">Strana </w:t>
    </w:r>
    <w:r w:rsidRPr="00B4139E">
      <w:rPr>
        <w:rFonts w:ascii="Arial" w:hAnsi="Arial" w:cs="Arial"/>
        <w:sz w:val="17"/>
        <w:szCs w:val="17"/>
      </w:rPr>
      <w:fldChar w:fldCharType="begin"/>
    </w:r>
    <w:r w:rsidRPr="00B4139E">
      <w:rPr>
        <w:rFonts w:ascii="Arial" w:hAnsi="Arial" w:cs="Arial"/>
        <w:sz w:val="17"/>
        <w:szCs w:val="17"/>
      </w:rPr>
      <w:instrText xml:space="preserve"> PAGE  \* MERGEFORMAT </w:instrText>
    </w:r>
    <w:r w:rsidRPr="00B4139E">
      <w:rPr>
        <w:rFonts w:ascii="Arial" w:hAnsi="Arial" w:cs="Arial"/>
        <w:sz w:val="17"/>
        <w:szCs w:val="17"/>
      </w:rPr>
      <w:fldChar w:fldCharType="separate"/>
    </w:r>
    <w:r w:rsidRPr="00B4139E">
      <w:rPr>
        <w:rFonts w:ascii="Arial" w:hAnsi="Arial" w:cs="Arial"/>
        <w:sz w:val="17"/>
        <w:szCs w:val="17"/>
      </w:rPr>
      <w:t>1</w:t>
    </w:r>
    <w:r w:rsidRPr="00B4139E">
      <w:rPr>
        <w:rFonts w:ascii="Arial" w:hAnsi="Arial" w:cs="Arial"/>
        <w:sz w:val="17"/>
        <w:szCs w:val="17"/>
      </w:rPr>
      <w:fldChar w:fldCharType="end"/>
    </w:r>
    <w:r w:rsidRPr="00B4139E">
      <w:rPr>
        <w:rFonts w:ascii="Arial" w:hAnsi="Arial" w:cs="Arial"/>
        <w:sz w:val="17"/>
        <w:szCs w:val="17"/>
      </w:rPr>
      <w:t xml:space="preserve"> / </w:t>
    </w:r>
    <w:r w:rsidRPr="00B4139E">
      <w:rPr>
        <w:rFonts w:ascii="Arial" w:hAnsi="Arial" w:cs="Arial"/>
        <w:sz w:val="17"/>
        <w:szCs w:val="17"/>
      </w:rPr>
      <w:fldChar w:fldCharType="begin"/>
    </w:r>
    <w:r w:rsidRPr="00B4139E">
      <w:rPr>
        <w:rFonts w:ascii="Arial" w:hAnsi="Arial" w:cs="Arial"/>
        <w:sz w:val="17"/>
        <w:szCs w:val="17"/>
      </w:rPr>
      <w:instrText xml:space="preserve"> SECTIONPAGES  \* MERGEFORMAT </w:instrText>
    </w:r>
    <w:r w:rsidRPr="00B4139E">
      <w:rPr>
        <w:rFonts w:ascii="Arial" w:hAnsi="Arial" w:cs="Arial"/>
        <w:sz w:val="17"/>
        <w:szCs w:val="17"/>
      </w:rPr>
      <w:fldChar w:fldCharType="separate"/>
    </w:r>
    <w:r w:rsidR="0003442E">
      <w:rPr>
        <w:rFonts w:ascii="Arial" w:hAnsi="Arial" w:cs="Arial"/>
        <w:noProof/>
        <w:sz w:val="17"/>
        <w:szCs w:val="17"/>
      </w:rPr>
      <w:t>4</w:t>
    </w:r>
    <w:r w:rsidRPr="00B4139E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210FC" w14:textId="77777777" w:rsidR="00B4139E" w:rsidRDefault="00B4139E" w:rsidP="00B4139E">
      <w:pPr>
        <w:spacing w:after="0" w:line="240" w:lineRule="auto"/>
      </w:pPr>
      <w:r>
        <w:separator/>
      </w:r>
    </w:p>
  </w:footnote>
  <w:footnote w:type="continuationSeparator" w:id="0">
    <w:p w14:paraId="00D5903C" w14:textId="77777777" w:rsidR="00B4139E" w:rsidRDefault="00B4139E" w:rsidP="00B413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50581D"/>
    <w:multiLevelType w:val="hybridMultilevel"/>
    <w:tmpl w:val="0E762B3A"/>
    <w:lvl w:ilvl="0" w:tplc="72AE10D4">
      <w:start w:val="1"/>
      <w:numFmt w:val="bullet"/>
      <w:pStyle w:val="Bullet2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941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5F9"/>
    <w:rsid w:val="0003442E"/>
    <w:rsid w:val="001C0485"/>
    <w:rsid w:val="002F1093"/>
    <w:rsid w:val="004B0FC4"/>
    <w:rsid w:val="0058698A"/>
    <w:rsid w:val="00595970"/>
    <w:rsid w:val="006774B0"/>
    <w:rsid w:val="006E1F6A"/>
    <w:rsid w:val="007428BB"/>
    <w:rsid w:val="007D158C"/>
    <w:rsid w:val="007D6BD4"/>
    <w:rsid w:val="008C1B6E"/>
    <w:rsid w:val="008F4761"/>
    <w:rsid w:val="009B6AFE"/>
    <w:rsid w:val="009D23D1"/>
    <w:rsid w:val="00A37BDF"/>
    <w:rsid w:val="00A4022E"/>
    <w:rsid w:val="00AF4276"/>
    <w:rsid w:val="00B13727"/>
    <w:rsid w:val="00B4139E"/>
    <w:rsid w:val="00B4174C"/>
    <w:rsid w:val="00B87EB0"/>
    <w:rsid w:val="00BB0D94"/>
    <w:rsid w:val="00BC4A16"/>
    <w:rsid w:val="00BD6680"/>
    <w:rsid w:val="00C24A10"/>
    <w:rsid w:val="00C845B8"/>
    <w:rsid w:val="00CD6A5E"/>
    <w:rsid w:val="00CE0B2B"/>
    <w:rsid w:val="00D36507"/>
    <w:rsid w:val="00DA35F9"/>
    <w:rsid w:val="00F22121"/>
    <w:rsid w:val="1C35C203"/>
    <w:rsid w:val="2E1FB999"/>
    <w:rsid w:val="76F3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CE5B6A"/>
  <w15:chartTrackingRefBased/>
  <w15:docId w15:val="{DC420656-052C-47D5-8A09-230DD922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PZText">
    <w:name w:val="OPZ Text"/>
    <w:basedOn w:val="Normlny"/>
    <w:uiPriority w:val="99"/>
    <w:qFormat/>
    <w:rsid w:val="00BC4A16"/>
    <w:pPr>
      <w:spacing w:before="60" w:after="120" w:line="276" w:lineRule="auto"/>
      <w:jc w:val="both"/>
    </w:pPr>
    <w:rPr>
      <w:rFonts w:ascii="Arial" w:eastAsia="Arial" w:hAnsi="Arial" w:cs="Arial"/>
      <w:color w:val="000000" w:themeColor="text1"/>
      <w:kern w:val="0"/>
      <w:szCs w:val="24"/>
      <w14:ligatures w14:val="none"/>
    </w:rPr>
  </w:style>
  <w:style w:type="paragraph" w:customStyle="1" w:styleId="Bullet2">
    <w:name w:val="Bullet 2"/>
    <w:basedOn w:val="Normlny"/>
    <w:qFormat/>
    <w:rsid w:val="00F22121"/>
    <w:pPr>
      <w:numPr>
        <w:numId w:val="1"/>
      </w:numPr>
      <w:spacing w:after="180" w:line="276" w:lineRule="auto"/>
    </w:pPr>
  </w:style>
  <w:style w:type="paragraph" w:customStyle="1" w:styleId="Z-NazovZmluvy">
    <w:name w:val="Z - Nazov Zmluvy"/>
    <w:basedOn w:val="Normlny"/>
    <w:qFormat/>
    <w:rsid w:val="00C845B8"/>
    <w:pPr>
      <w:widowControl w:val="0"/>
      <w:spacing w:after="240" w:line="240" w:lineRule="auto"/>
      <w:contextualSpacing/>
    </w:pPr>
    <w:rPr>
      <w:b/>
      <w:sz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B413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413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413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13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4139E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139E"/>
  </w:style>
  <w:style w:type="paragraph" w:styleId="Pta">
    <w:name w:val="footer"/>
    <w:basedOn w:val="Normlny"/>
    <w:link w:val="PtaChar"/>
    <w:uiPriority w:val="99"/>
    <w:unhideWhenUsed/>
    <w:rsid w:val="00B41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1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18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09DBE4-4164-4B5C-A3D3-D667DE0BE1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2CDF3D-8F33-4573-9EC9-53B50F95D1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9C8A94-D362-4823-82FE-34F67E90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7DD802-0AFF-4C68-99E2-F29AF25A6F05}">
  <ds:schemaRefs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1a9bc86e-de8b-4d6b-be6a-2b97a42ba308"/>
    <ds:schemaRef ds:uri="2b0caf88-9412-4b41-9f5c-b8ce90e0092a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1191</Words>
  <Characters>6792</Characters>
  <DocSecurity>0</DocSecurity>
  <Lines>56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2024-08-21T21:25:00Z</dcterms:created>
  <dcterms:modified xsi:type="dcterms:W3CDTF">2024-10-04T16:21:00Z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