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7777777" w:rsidR="00992F85" w:rsidRPr="00C47B54" w:rsidRDefault="00992F85" w:rsidP="00992F85">
      <w:pPr>
        <w:spacing w:after="0" w:line="240" w:lineRule="auto"/>
        <w:jc w:val="center"/>
        <w:rPr>
          <w:rFonts w:ascii="Arial" w:hAnsi="Arial" w:cs="Arial"/>
          <w:b/>
          <w:sz w:val="24"/>
          <w:szCs w:val="18"/>
        </w:rPr>
      </w:pPr>
      <w:r w:rsidRPr="00C47B54">
        <w:rPr>
          <w:rFonts w:ascii="Arial" w:hAnsi="Arial" w:cs="Arial"/>
          <w:b/>
          <w:sz w:val="24"/>
          <w:szCs w:val="18"/>
        </w:rPr>
        <w:t>RÁMCOVÁ DOHODA</w:t>
      </w:r>
      <w:bookmarkStart w:id="0" w:name="_GoBack"/>
      <w:bookmarkEnd w:id="0"/>
    </w:p>
    <w:p w14:paraId="5DA65AE7"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 xml:space="preserve">s jedným účastníkom </w:t>
      </w:r>
      <w:r>
        <w:rPr>
          <w:rFonts w:ascii="Arial" w:hAnsi="Arial" w:cs="Arial"/>
          <w:b/>
          <w:sz w:val="18"/>
          <w:szCs w:val="18"/>
        </w:rPr>
        <w:t>bez opätovného otvorenia súťaže</w:t>
      </w:r>
    </w:p>
    <w:p w14:paraId="51FA2B7B" w14:textId="77777777" w:rsidR="00992F85" w:rsidRPr="00A83622" w:rsidRDefault="00992F85" w:rsidP="00992F85">
      <w:pPr>
        <w:spacing w:after="0" w:line="240" w:lineRule="auto"/>
        <w:jc w:val="center"/>
        <w:rPr>
          <w:rFonts w:ascii="Arial" w:hAnsi="Arial" w:cs="Arial"/>
          <w:b/>
          <w:sz w:val="18"/>
          <w:szCs w:val="18"/>
        </w:rPr>
      </w:pPr>
    </w:p>
    <w:p w14:paraId="0562FD2E" w14:textId="7BB34321" w:rsidR="00992F85" w:rsidRPr="004D7CE7" w:rsidRDefault="00992F85" w:rsidP="00992F85">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w:t>
      </w:r>
      <w:proofErr w:type="spellStart"/>
      <w:r w:rsidRPr="004D7CE7">
        <w:rPr>
          <w:rFonts w:ascii="Arial" w:hAnsi="Arial" w:cs="Arial"/>
          <w:sz w:val="18"/>
          <w:szCs w:val="18"/>
        </w:rPr>
        <w:t>ZoVO</w:t>
      </w:r>
      <w:proofErr w:type="spellEnd"/>
      <w:r w:rsidRPr="004D7CE7">
        <w:rPr>
          <w:rFonts w:ascii="Arial" w:hAnsi="Arial" w:cs="Arial"/>
          <w:sz w:val="18"/>
          <w:szCs w:val="18"/>
        </w:rPr>
        <w:t>“)</w:t>
      </w:r>
    </w:p>
    <w:p w14:paraId="41978BFA" w14:textId="77777777" w:rsidR="00992F85" w:rsidRPr="00A83622" w:rsidRDefault="00992F85" w:rsidP="00992F85">
      <w:pPr>
        <w:spacing w:after="0" w:line="240" w:lineRule="auto"/>
        <w:jc w:val="center"/>
        <w:rPr>
          <w:rFonts w:ascii="Arial" w:hAnsi="Arial" w:cs="Arial"/>
          <w:sz w:val="18"/>
          <w:szCs w:val="18"/>
        </w:rPr>
      </w:pPr>
    </w:p>
    <w:p w14:paraId="6DE1CD7C" w14:textId="6DD5A3DD" w:rsidR="00992F85" w:rsidRDefault="00992F85" w:rsidP="00992F85">
      <w:pPr>
        <w:spacing w:after="0" w:line="240" w:lineRule="auto"/>
        <w:jc w:val="center"/>
        <w:rPr>
          <w:rFonts w:ascii="Arial" w:hAnsi="Arial" w:cs="Arial"/>
          <w:b/>
          <w:sz w:val="18"/>
          <w:szCs w:val="18"/>
        </w:rPr>
      </w:pPr>
      <w:r w:rsidRPr="006F58F3">
        <w:rPr>
          <w:rFonts w:ascii="Arial" w:hAnsi="Arial" w:cs="Arial"/>
          <w:sz w:val="18"/>
          <w:szCs w:val="18"/>
        </w:rPr>
        <w:t>na dodanie:</w:t>
      </w:r>
      <w:r w:rsidRPr="00A83622">
        <w:rPr>
          <w:rFonts w:ascii="Arial" w:hAnsi="Arial" w:cs="Arial"/>
          <w:b/>
          <w:sz w:val="18"/>
          <w:szCs w:val="18"/>
        </w:rPr>
        <w:t xml:space="preserve"> </w:t>
      </w:r>
      <w:r w:rsidR="00074133">
        <w:rPr>
          <w:rFonts w:ascii="Arial" w:hAnsi="Arial" w:cs="Arial"/>
          <w:b/>
          <w:sz w:val="18"/>
          <w:szCs w:val="18"/>
        </w:rPr>
        <w:t xml:space="preserve">Stimulačný bezelektródový systém pre transkatétrovú implantáciu vrátane </w:t>
      </w:r>
      <w:r w:rsidR="00532254">
        <w:rPr>
          <w:rFonts w:ascii="Arial" w:hAnsi="Arial" w:cs="Arial"/>
          <w:b/>
          <w:sz w:val="18"/>
          <w:szCs w:val="18"/>
        </w:rPr>
        <w:t>príslušenstva s fixáciou prostredníctvom špirály (skrutkovice)</w:t>
      </w:r>
    </w:p>
    <w:p w14:paraId="0A94FBD2" w14:textId="77777777" w:rsidR="00992F85" w:rsidRPr="00A83622" w:rsidRDefault="00992F85" w:rsidP="00992F85">
      <w:pPr>
        <w:spacing w:after="0" w:line="240" w:lineRule="auto"/>
        <w:jc w:val="center"/>
        <w:rPr>
          <w:rFonts w:ascii="Arial" w:hAnsi="Arial" w:cs="Arial"/>
          <w:b/>
          <w:sz w:val="18"/>
          <w:szCs w:val="18"/>
        </w:rPr>
      </w:pPr>
    </w:p>
    <w:p w14:paraId="108D5ED0" w14:textId="77777777" w:rsidR="00992F85" w:rsidRPr="00A83622" w:rsidRDefault="00992F85" w:rsidP="00992F85">
      <w:pPr>
        <w:spacing w:after="0" w:line="240" w:lineRule="auto"/>
        <w:jc w:val="center"/>
        <w:rPr>
          <w:rFonts w:ascii="Arial" w:hAnsi="Arial" w:cs="Arial"/>
          <w:b/>
          <w:sz w:val="18"/>
          <w:szCs w:val="18"/>
        </w:rPr>
      </w:pPr>
    </w:p>
    <w:p w14:paraId="1A7B1BE5"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77777777" w:rsidR="00992F85" w:rsidRPr="00A83622"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MUDr. Štefan Lukačín,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t>doc. MUDr. Martin Studenčan,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w:t>
      </w:r>
      <w:r>
        <w:rPr>
          <w:rFonts w:ascii="Arial" w:hAnsi="Arial" w:cs="Arial"/>
          <w:sz w:val="18"/>
          <w:szCs w:val="18"/>
        </w:rPr>
        <w:t xml:space="preserve">FESC, </w:t>
      </w:r>
      <w:r w:rsidRPr="00A83622">
        <w:rPr>
          <w:rFonts w:ascii="Arial" w:hAnsi="Arial" w:cs="Arial"/>
          <w:sz w:val="18"/>
          <w:szCs w:val="18"/>
        </w:rPr>
        <w:t>podpredseda predstavenstva</w:t>
      </w:r>
    </w:p>
    <w:p w14:paraId="06A32EA1"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t>MUDr. Peter Šafár, MHA,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0ACDF96C" w14:textId="77777777"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1AE64C79" w14:textId="77777777"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50DB5438" w14:textId="4636649E" w:rsidR="00074133" w:rsidRPr="00074133" w:rsidRDefault="00992F85" w:rsidP="00074133">
      <w:pPr>
        <w:jc w:val="both"/>
        <w:rPr>
          <w:rFonts w:ascii="Arial" w:hAnsi="Arial" w:cs="Arial"/>
          <w:b/>
          <w:sz w:val="18"/>
          <w:szCs w:val="18"/>
        </w:rPr>
      </w:pPr>
      <w:r w:rsidRPr="00A83622">
        <w:rPr>
          <w:rFonts w:ascii="Arial" w:hAnsi="Arial" w:cs="Arial"/>
          <w:sz w:val="18"/>
          <w:szCs w:val="18"/>
        </w:rPr>
        <w:t xml:space="preserve">Túto rámcovú dohodu </w:t>
      </w:r>
      <w:r>
        <w:rPr>
          <w:rFonts w:ascii="Arial" w:hAnsi="Arial" w:cs="Arial"/>
          <w:sz w:val="18"/>
          <w:szCs w:val="18"/>
        </w:rPr>
        <w:t>(ďalej len „RD“) uzatvárajú K</w:t>
      </w:r>
      <w:r w:rsidRPr="00A83622">
        <w:rPr>
          <w:rFonts w:ascii="Arial" w:hAnsi="Arial" w:cs="Arial"/>
          <w:sz w:val="18"/>
          <w:szCs w:val="18"/>
        </w:rPr>
        <w:t>upuj</w:t>
      </w:r>
      <w:r>
        <w:rPr>
          <w:rFonts w:ascii="Arial" w:hAnsi="Arial" w:cs="Arial"/>
          <w:sz w:val="18"/>
          <w:szCs w:val="18"/>
        </w:rPr>
        <w:t>úci ako verejný obstarávateľ a P</w:t>
      </w:r>
      <w:r w:rsidRPr="00A83622">
        <w:rPr>
          <w:rFonts w:ascii="Arial" w:hAnsi="Arial" w:cs="Arial"/>
          <w:sz w:val="18"/>
          <w:szCs w:val="18"/>
        </w:rPr>
        <w:t xml:space="preserve">redávajúci ako úspešný uchádzač </w:t>
      </w:r>
      <w:r>
        <w:rPr>
          <w:rFonts w:ascii="Arial" w:hAnsi="Arial" w:cs="Arial"/>
          <w:sz w:val="18"/>
          <w:szCs w:val="18"/>
        </w:rPr>
        <w:t>na</w:t>
      </w:r>
      <w:r w:rsidR="00431849">
        <w:rPr>
          <w:rFonts w:ascii="Arial" w:hAnsi="Arial" w:cs="Arial"/>
          <w:sz w:val="18"/>
          <w:szCs w:val="18"/>
        </w:rPr>
        <w:t xml:space="preserve"> výsledku verejného obstarávania podľa</w:t>
      </w:r>
      <w:r>
        <w:rPr>
          <w:rFonts w:ascii="Arial" w:hAnsi="Arial" w:cs="Arial"/>
          <w:sz w:val="18"/>
          <w:szCs w:val="18"/>
        </w:rPr>
        <w:t xml:space="preserve"> </w:t>
      </w:r>
      <w:proofErr w:type="spellStart"/>
      <w:r w:rsidRPr="00A83622">
        <w:rPr>
          <w:rFonts w:ascii="Arial" w:hAnsi="Arial" w:cs="Arial"/>
          <w:sz w:val="18"/>
          <w:szCs w:val="18"/>
        </w:rPr>
        <w:t>ZoVO</w:t>
      </w:r>
      <w:proofErr w:type="spellEnd"/>
      <w:r w:rsidRPr="00A83622">
        <w:rPr>
          <w:rFonts w:ascii="Arial" w:hAnsi="Arial" w:cs="Arial"/>
          <w:sz w:val="18"/>
          <w:szCs w:val="18"/>
        </w:rPr>
        <w:t xml:space="preserve"> na predmet zákazky</w:t>
      </w:r>
      <w:r>
        <w:rPr>
          <w:rFonts w:ascii="Arial" w:hAnsi="Arial" w:cs="Arial"/>
          <w:sz w:val="18"/>
          <w:szCs w:val="18"/>
        </w:rPr>
        <w:t xml:space="preserve"> s názvom</w:t>
      </w:r>
      <w:r w:rsidRPr="00A83622">
        <w:rPr>
          <w:rFonts w:ascii="Arial" w:hAnsi="Arial" w:cs="Arial"/>
          <w:sz w:val="18"/>
          <w:szCs w:val="18"/>
        </w:rPr>
        <w:t>:</w:t>
      </w:r>
      <w:r w:rsidRPr="00A83622">
        <w:rPr>
          <w:rFonts w:ascii="Arial" w:hAnsi="Arial" w:cs="Arial"/>
          <w:b/>
          <w:sz w:val="18"/>
          <w:szCs w:val="18"/>
        </w:rPr>
        <w:t xml:space="preserve"> </w:t>
      </w:r>
      <w:r w:rsidR="00532254" w:rsidRPr="00532254">
        <w:rPr>
          <w:rFonts w:ascii="Arial" w:hAnsi="Arial" w:cs="Arial"/>
          <w:b/>
          <w:sz w:val="18"/>
          <w:szCs w:val="18"/>
        </w:rPr>
        <w:t>Stimulačný bezelektródový systém pre transkatétrovú implantáciu vrátane príslušenstva s fixáciou prostredníctvom špirály (skrutkovice)</w:t>
      </w:r>
      <w:r w:rsidR="00074133">
        <w:rPr>
          <w:rFonts w:ascii="Arial" w:hAnsi="Arial" w:cs="Arial"/>
          <w:b/>
          <w:sz w:val="18"/>
          <w:szCs w:val="18"/>
        </w:rPr>
        <w:t>.</w:t>
      </w:r>
    </w:p>
    <w:p w14:paraId="135E1A55" w14:textId="093AC46F" w:rsidR="00992F85" w:rsidRDefault="00992F85" w:rsidP="00992F85">
      <w:pPr>
        <w:pStyle w:val="Odsekzoznamu"/>
        <w:spacing w:after="0" w:line="240" w:lineRule="auto"/>
        <w:ind w:left="0"/>
        <w:contextualSpacing w:val="0"/>
        <w:jc w:val="both"/>
        <w:rPr>
          <w:rFonts w:ascii="Arial" w:hAnsi="Arial" w:cs="Arial"/>
          <w:b/>
          <w:sz w:val="18"/>
          <w:szCs w:val="18"/>
        </w:rPr>
      </w:pPr>
    </w:p>
    <w:p w14:paraId="1C24E8A7" w14:textId="77777777" w:rsidR="00992F85" w:rsidRDefault="00992F85"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992F85">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559AC71" w14:textId="77777777" w:rsidR="00992F85" w:rsidRPr="00A83622" w:rsidRDefault="00992F85" w:rsidP="00992F85">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7715BF0F" w:rsidR="00992F85" w:rsidRPr="00074133" w:rsidRDefault="00992F85" w:rsidP="00074133">
      <w:pPr>
        <w:pStyle w:val="Odsekzoznamu"/>
        <w:numPr>
          <w:ilvl w:val="0"/>
          <w:numId w:val="9"/>
        </w:numPr>
        <w:jc w:val="both"/>
        <w:rPr>
          <w:rFonts w:ascii="Arial" w:hAnsi="Arial" w:cs="Arial"/>
          <w:sz w:val="18"/>
          <w:szCs w:val="18"/>
        </w:rPr>
      </w:pPr>
      <w:r w:rsidRPr="00074133">
        <w:rPr>
          <w:rFonts w:ascii="Arial" w:hAnsi="Arial" w:cs="Arial"/>
          <w:sz w:val="18"/>
          <w:szCs w:val="18"/>
        </w:rPr>
        <w:t xml:space="preserve">Predmetom tejto RD je záväzok Predávajúceho dodať </w:t>
      </w:r>
      <w:r w:rsidR="003356C4" w:rsidRPr="00074133">
        <w:rPr>
          <w:rFonts w:ascii="Arial" w:hAnsi="Arial" w:cs="Arial"/>
          <w:sz w:val="18"/>
          <w:szCs w:val="18"/>
        </w:rPr>
        <w:t>Kupujúcemu</w:t>
      </w:r>
      <w:r w:rsidR="00431849" w:rsidRPr="00074133">
        <w:rPr>
          <w:rFonts w:ascii="Arial" w:hAnsi="Arial" w:cs="Arial"/>
          <w:sz w:val="18"/>
          <w:szCs w:val="18"/>
        </w:rPr>
        <w:t xml:space="preserve"> </w:t>
      </w:r>
      <w:r w:rsidR="00532254" w:rsidRPr="00532254">
        <w:rPr>
          <w:rFonts w:ascii="Arial" w:hAnsi="Arial" w:cs="Arial"/>
          <w:sz w:val="18"/>
          <w:szCs w:val="18"/>
        </w:rPr>
        <w:t xml:space="preserve">Stimulačný bezelektródový systém pre transkatétrovú implantáciu vrátane príslušenstva s fixáciou prostredníctvom špirály (skrutkovice) </w:t>
      </w:r>
      <w:r w:rsidRPr="00074133">
        <w:rPr>
          <w:rFonts w:ascii="Arial" w:hAnsi="Arial" w:cs="Arial"/>
          <w:sz w:val="18"/>
          <w:szCs w:val="18"/>
        </w:rPr>
        <w:t>(ďalej aj „predmet RD“ alebo „tovar“) na základe písomných objednávok Kupujúceho a previesť na Kupujúceho vlastnícke právo k tomuto tovaru a záväzok Kupujúceho zaplatiť Predávajúcemu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A40900">
        <w:rPr>
          <w:rFonts w:ascii="Arial" w:hAnsi="Arial" w:cs="Arial"/>
          <w:sz w:val="18"/>
          <w:szCs w:val="18"/>
        </w:rPr>
        <w:t>relevantné</w:t>
      </w:r>
      <w:r>
        <w:rPr>
          <w:rFonts w:ascii="Arial" w:hAnsi="Arial" w:cs="Arial"/>
          <w:sz w:val="18"/>
          <w:szCs w:val="18"/>
        </w:rPr>
        <w:t>,</w:t>
      </w:r>
      <w:r w:rsidRPr="00A40900">
        <w:rPr>
          <w:rFonts w:ascii="Arial" w:hAnsi="Arial" w:cs="Arial"/>
          <w:sz w:val="18"/>
          <w:szCs w:val="18"/>
        </w:rPr>
        <w:t xml:space="preserve"> tak aj s výsledkom elektronickej aukcie a n</w:t>
      </w:r>
      <w:r>
        <w:rPr>
          <w:rFonts w:ascii="Arial" w:hAnsi="Arial" w:cs="Arial"/>
          <w:sz w:val="18"/>
          <w:szCs w:val="18"/>
        </w:rPr>
        <w:t>a základe písomných objednávok K</w:t>
      </w:r>
      <w:r w:rsidRPr="00A40900">
        <w:rPr>
          <w:rFonts w:ascii="Arial" w:hAnsi="Arial" w:cs="Arial"/>
          <w:sz w:val="18"/>
          <w:szCs w:val="18"/>
        </w:rPr>
        <w:t>upujúceho.</w:t>
      </w:r>
    </w:p>
    <w:p w14:paraId="3B17EDB4" w14:textId="6E8CE88F"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 xml:space="preserve">zaväzuje dodávať predmet RD s minimálnou dobou použiteľnosti </w:t>
      </w:r>
      <w:r w:rsidR="00431849">
        <w:rPr>
          <w:rFonts w:ascii="Arial" w:hAnsi="Arial" w:cs="Arial"/>
          <w:sz w:val="18"/>
          <w:szCs w:val="18"/>
        </w:rPr>
        <w:t>24</w:t>
      </w:r>
      <w:r w:rsidRPr="00E022FB">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099732CF"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 xml:space="preserve">ch dňoch, v čase od 7.00 do </w:t>
      </w:r>
      <w:r w:rsidR="00074133">
        <w:rPr>
          <w:rFonts w:ascii="Arial" w:hAnsi="Arial" w:cs="Arial"/>
          <w:bCs/>
          <w:sz w:val="18"/>
          <w:szCs w:val="18"/>
        </w:rPr>
        <w:t>14</w:t>
      </w:r>
      <w:r w:rsidRPr="00A83622">
        <w:rPr>
          <w:rFonts w:ascii="Arial" w:hAnsi="Arial" w:cs="Arial"/>
          <w:bCs/>
          <w:sz w:val="18"/>
          <w:szCs w:val="18"/>
        </w:rPr>
        <w:t>.</w:t>
      </w:r>
      <w:r w:rsidR="00074133">
        <w:rPr>
          <w:rFonts w:ascii="Arial" w:hAnsi="Arial" w:cs="Arial"/>
          <w:bCs/>
          <w:sz w:val="18"/>
          <w:szCs w:val="18"/>
        </w:rPr>
        <w:t>30</w:t>
      </w:r>
      <w:r>
        <w:rPr>
          <w:rFonts w:ascii="Arial" w:hAnsi="Arial" w:cs="Arial"/>
          <w:bCs/>
          <w:sz w:val="18"/>
          <w:szCs w:val="18"/>
        </w:rPr>
        <w:t xml:space="preserve">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w:t>
      </w:r>
      <w:proofErr w:type="spellStart"/>
      <w:r w:rsidR="00431849">
        <w:rPr>
          <w:rFonts w:ascii="Arial" w:hAnsi="Arial" w:cs="Arial"/>
          <w:bCs/>
          <w:sz w:val="18"/>
          <w:szCs w:val="18"/>
        </w:rPr>
        <w:t>a.s</w:t>
      </w:r>
      <w:proofErr w:type="spellEnd"/>
      <w:r w:rsidR="00431849">
        <w:rPr>
          <w:rFonts w:ascii="Arial" w:hAnsi="Arial" w:cs="Arial"/>
          <w:bCs/>
          <w:sz w:val="18"/>
          <w:szCs w:val="18"/>
        </w:rPr>
        <w:t>.,</w:t>
      </w:r>
      <w:r w:rsidRPr="00A83622">
        <w:rPr>
          <w:rFonts w:ascii="Arial" w:hAnsi="Arial" w:cs="Arial"/>
          <w:bCs/>
          <w:sz w:val="18"/>
          <w:szCs w:val="18"/>
        </w:rPr>
        <w:t xml:space="preserv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304"/>
        <w:gridCol w:w="4333"/>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tel</w:t>
            </w:r>
            <w:r w:rsidRPr="00074133">
              <w:rPr>
                <w:rFonts w:ascii="Arial" w:eastAsia="Times New Roman" w:hAnsi="Arial" w:cs="Arial"/>
                <w:bCs/>
                <w:noProof/>
                <w:sz w:val="18"/>
                <w:szCs w:val="18"/>
                <w:lang w:eastAsia="sk-SK"/>
              </w:rPr>
              <w:t xml:space="preserve">.: </w:t>
            </w:r>
            <w:r w:rsidRPr="00074133">
              <w:rPr>
                <w:rFonts w:ascii="Arial" w:hAnsi="Arial" w:cs="Arial"/>
                <w:sz w:val="18"/>
                <w:szCs w:val="18"/>
              </w:rPr>
              <w:t xml:space="preserve">+421 55 789 </w:t>
            </w:r>
            <w:r w:rsidR="00431849" w:rsidRPr="00074133">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lastRenderedPageBreak/>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2620BE29"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78D792B4"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1"/>
      </w:r>
      <w:r w:rsidR="00992F85" w:rsidRPr="00657BF5">
        <w:rPr>
          <w:rFonts w:ascii="Arial" w:hAnsi="Arial" w:cs="Arial"/>
          <w:sz w:val="18"/>
          <w:szCs w:val="18"/>
        </w:rPr>
        <w:t>.</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657BF5">
        <w:rPr>
          <w:rFonts w:ascii="Arial" w:hAnsi="Arial" w:cs="Arial"/>
          <w:sz w:val="18"/>
          <w:szCs w:val="18"/>
        </w:rPr>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w:t>
      </w:r>
      <w:r w:rsidRPr="00A8113D">
        <w:rPr>
          <w:rFonts w:ascii="Arial" w:hAnsi="Arial" w:cs="Arial"/>
          <w:color w:val="222222"/>
          <w:sz w:val="18"/>
          <w:szCs w:val="18"/>
        </w:rPr>
        <w:lastRenderedPageBreak/>
        <w:t>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06DE81D2"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 V prípadoch zmeny cien v dôsledku zmeny aktuálne platného Zoznamu 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074133">
      <w:pPr>
        <w:pStyle w:val="Odsekzoznamu"/>
        <w:numPr>
          <w:ilvl w:val="3"/>
          <w:numId w:val="2"/>
        </w:numPr>
        <w:spacing w:after="120" w:line="240" w:lineRule="auto"/>
        <w:ind w:left="284"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77777777" w:rsidR="00992F85" w:rsidRPr="0055439D" w:rsidRDefault="00992F85" w:rsidP="00074133">
      <w:pPr>
        <w:pStyle w:val="Odsekzoznamu"/>
        <w:numPr>
          <w:ilvl w:val="3"/>
          <w:numId w:val="2"/>
        </w:numPr>
        <w:spacing w:after="120" w:line="240" w:lineRule="auto"/>
        <w:ind w:left="284" w:hanging="426"/>
        <w:contextualSpacing w:val="0"/>
        <w:jc w:val="both"/>
        <w:rPr>
          <w:rFonts w:ascii="Arial" w:hAnsi="Arial" w:cs="Arial"/>
          <w:bCs/>
          <w:sz w:val="18"/>
          <w:szCs w:val="18"/>
        </w:rPr>
      </w:pPr>
      <w:r w:rsidRPr="0055439D">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487E717D" w14:textId="2BF8B327"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6B2CED3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074133">
        <w:rPr>
          <w:rFonts w:ascii="Arial" w:hAnsi="Arial" w:cs="Arial"/>
          <w:bCs/>
          <w:sz w:val="18"/>
          <w:szCs w:val="18"/>
        </w:rPr>
        <w:t>5</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lastRenderedPageBreak/>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6CBB350" w14:textId="27B6929A"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4799B535" w14:textId="77777777" w:rsidR="00992F85" w:rsidRPr="00D44787"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3943455E" w14:textId="77777777" w:rsidR="00074133" w:rsidRDefault="00074133" w:rsidP="00992F85">
      <w:pPr>
        <w:widowControl w:val="0"/>
        <w:spacing w:before="240" w:after="0" w:line="240" w:lineRule="auto"/>
        <w:jc w:val="center"/>
        <w:rPr>
          <w:rFonts w:ascii="Arial" w:hAnsi="Arial" w:cs="Arial"/>
          <w:b/>
          <w:sz w:val="18"/>
          <w:szCs w:val="18"/>
          <w:shd w:val="clear" w:color="auto" w:fill="FFFFFF"/>
        </w:rPr>
      </w:pPr>
    </w:p>
    <w:p w14:paraId="6EC98559" w14:textId="14F5EAF4"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lastRenderedPageBreak/>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6281A8B0" w14:textId="47928591"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351AC00B"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5E4622FC" w14:textId="57402D10"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1503E829"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57BF5">
        <w:rPr>
          <w:rFonts w:ascii="Arial" w:hAnsi="Arial" w:cs="Arial"/>
          <w:bCs/>
          <w:iCs/>
          <w:sz w:val="18"/>
          <w:szCs w:val="18"/>
        </w:rPr>
        <w:t xml:space="preserve">uzatvára </w:t>
      </w:r>
      <w:r w:rsidR="00CD66EB">
        <w:rPr>
          <w:rFonts w:ascii="Arial" w:hAnsi="Arial" w:cs="Arial"/>
          <w:b/>
          <w:bCs/>
          <w:iCs/>
          <w:sz w:val="18"/>
          <w:szCs w:val="18"/>
        </w:rPr>
        <w:t xml:space="preserve">na obdobie </w:t>
      </w:r>
      <w:r w:rsidR="00074133">
        <w:rPr>
          <w:rFonts w:ascii="Arial" w:hAnsi="Arial" w:cs="Arial"/>
          <w:b/>
          <w:bCs/>
          <w:iCs/>
          <w:sz w:val="18"/>
          <w:szCs w:val="18"/>
        </w:rPr>
        <w:t>24</w:t>
      </w:r>
      <w:r w:rsidRPr="00657BF5">
        <w:rPr>
          <w:rFonts w:ascii="Arial" w:hAnsi="Arial" w:cs="Arial"/>
          <w:b/>
          <w:bCs/>
          <w:iCs/>
          <w:sz w:val="18"/>
          <w:szCs w:val="18"/>
        </w:rPr>
        <w:t xml:space="preserve"> kalendárnych mesiacov</w:t>
      </w:r>
      <w:r w:rsidRPr="00657BF5">
        <w:rPr>
          <w:rFonts w:ascii="Arial" w:hAnsi="Arial" w:cs="Arial"/>
          <w:bCs/>
          <w:iCs/>
          <w:sz w:val="18"/>
          <w:szCs w:val="18"/>
        </w:rPr>
        <w:t xml:space="preserve"> odo dňa nadobudnutia jej účinnosti a zároveň do doby naplnenia </w:t>
      </w:r>
      <w:r w:rsidR="004C2FD9">
        <w:rPr>
          <w:rFonts w:ascii="Arial" w:hAnsi="Arial" w:cs="Arial"/>
          <w:bCs/>
          <w:iCs/>
          <w:sz w:val="18"/>
          <w:szCs w:val="18"/>
        </w:rPr>
        <w:t>dohodnutej celkovej ceny</w:t>
      </w:r>
      <w:r w:rsidRPr="00657BF5">
        <w:rPr>
          <w:rFonts w:ascii="Arial" w:hAnsi="Arial" w:cs="Arial"/>
          <w:bCs/>
          <w:iCs/>
          <w:sz w:val="18"/>
          <w:szCs w:val="18"/>
        </w:rPr>
        <w:t xml:space="preserve"> podľa článku 4 bod </w:t>
      </w:r>
      <w:r w:rsidR="004C2FD9">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je splnený niektorý z dôvodov na odstúpenie od tejto RD podľa § 19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Predávajúci stratil spôsobilosť vyžadovanú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231BD02C" w14:textId="283AC75A"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55EBB7BA" w14:textId="342EFF00" w:rsidR="00B245B3" w:rsidRDefault="00B245B3" w:rsidP="00B245B3">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sa dohodli, že v prípade, ak 2</w:t>
      </w:r>
      <w:r w:rsidRPr="006F4833">
        <w:rPr>
          <w:rFonts w:ascii="Arial" w:hAnsi="Arial" w:cs="Arial"/>
          <w:sz w:val="18"/>
          <w:szCs w:val="18"/>
        </w:rPr>
        <w:t xml:space="preserve"> mesiace pred uplynutím trvania tejto RD bude nevyčerpaných viac ako 20%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Pr>
          <w:rFonts w:ascii="Arial" w:hAnsi="Arial" w:cs="Arial"/>
          <w:sz w:val="18"/>
          <w:szCs w:val="18"/>
        </w:rPr>
        <w:t>Účastníci dohody</w:t>
      </w:r>
      <w:r w:rsidRPr="006F4833">
        <w:rPr>
          <w:rFonts w:ascii="Arial" w:hAnsi="Arial" w:cs="Arial"/>
          <w:sz w:val="18"/>
          <w:szCs w:val="18"/>
        </w:rPr>
        <w:t xml:space="preserve"> môžu dodatkom k tejto RD predĺžiť jej trvanie, maximálne však na </w:t>
      </w:r>
      <w:r w:rsidRPr="00B245B3">
        <w:rPr>
          <w:rFonts w:ascii="Arial" w:hAnsi="Arial" w:cs="Arial"/>
          <w:sz w:val="18"/>
          <w:szCs w:val="18"/>
        </w:rPr>
        <w:t>ďalších 24 kalendárnych mesiacov</w:t>
      </w:r>
      <w:r w:rsidRPr="006F4833">
        <w:rPr>
          <w:rFonts w:ascii="Arial" w:hAnsi="Arial" w:cs="Arial"/>
          <w:sz w:val="18"/>
          <w:szCs w:val="18"/>
        </w:rPr>
        <w:t xml:space="preserve"> a zároveň do doby vyčerpania zostatku nevyčerpaného finančného rozsahu uvedeného v článku 4 bod </w:t>
      </w:r>
      <w:r>
        <w:rPr>
          <w:rFonts w:ascii="Arial" w:hAnsi="Arial" w:cs="Arial"/>
          <w:sz w:val="18"/>
          <w:szCs w:val="18"/>
        </w:rPr>
        <w:t>3</w:t>
      </w:r>
      <w:r w:rsidRPr="006F4833">
        <w:rPr>
          <w:rFonts w:ascii="Arial" w:hAnsi="Arial" w:cs="Arial"/>
          <w:sz w:val="18"/>
          <w:szCs w:val="18"/>
        </w:rPr>
        <w:t>. tejto RD v závislosti od  toho, ktorá z uvedených skutočností nastane skôr.</w:t>
      </w:r>
    </w:p>
    <w:p w14:paraId="09F9762D" w14:textId="4237414A" w:rsidR="00B245B3" w:rsidRDefault="00B245B3" w:rsidP="00B245B3">
      <w:pPr>
        <w:spacing w:after="120" w:line="240" w:lineRule="auto"/>
        <w:jc w:val="both"/>
        <w:rPr>
          <w:rFonts w:ascii="Arial" w:hAnsi="Arial" w:cs="Arial"/>
          <w:sz w:val="18"/>
          <w:szCs w:val="18"/>
        </w:rPr>
      </w:pPr>
    </w:p>
    <w:p w14:paraId="5CD07C69" w14:textId="77777777" w:rsidR="00B245B3" w:rsidRPr="00CF6360" w:rsidRDefault="00B245B3" w:rsidP="00B245B3">
      <w:pPr>
        <w:spacing w:after="120" w:line="240" w:lineRule="auto"/>
        <w:jc w:val="both"/>
        <w:rPr>
          <w:rFonts w:ascii="Arial" w:hAnsi="Arial" w:cs="Arial"/>
          <w:sz w:val="18"/>
          <w:szCs w:val="18"/>
        </w:rPr>
      </w:pP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lastRenderedPageBreak/>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01E2011" w:rsidR="00992F85" w:rsidRPr="00E84F14"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657BF5">
        <w:rPr>
          <w:rFonts w:ascii="Arial" w:hAnsi="Arial" w:cs="Arial"/>
          <w:sz w:val="18"/>
          <w:szCs w:val="18"/>
          <w:shd w:val="clear" w:color="auto" w:fill="FFFFFF"/>
        </w:rPr>
        <w:t>a.s</w:t>
      </w:r>
      <w:proofErr w:type="spellEnd"/>
      <w:r w:rsidRPr="00657BF5">
        <w:rPr>
          <w:rFonts w:ascii="Arial" w:hAnsi="Arial" w:cs="Arial"/>
          <w:sz w:val="18"/>
          <w:szCs w:val="18"/>
          <w:shd w:val="clear" w:color="auto" w:fill="FFFFFF"/>
        </w:rPr>
        <w:t xml:space="preserve">.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0E4F56BF" w14:textId="36E6F14A"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2B1E6C62"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284338">
        <w:rPr>
          <w:rFonts w:ascii="Arial" w:hAnsi="Arial" w:cs="Arial"/>
          <w:sz w:val="18"/>
          <w:szCs w:val="18"/>
        </w:rPr>
        <w:t xml:space="preserve">Špecifikácia predmetu zákazky </w:t>
      </w:r>
      <w:r w:rsidR="00284338">
        <w:rPr>
          <w:rFonts w:ascii="Arial" w:eastAsia="Calibri" w:hAnsi="Arial" w:cs="Arial"/>
          <w:sz w:val="18"/>
          <w:szCs w:val="18"/>
        </w:rPr>
        <w:t>(príloha č. 5 súťažných podkladov)</w:t>
      </w:r>
    </w:p>
    <w:p w14:paraId="68063440" w14:textId="4CE23582"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284338">
        <w:rPr>
          <w:rFonts w:ascii="Arial" w:hAnsi="Arial" w:cs="Arial"/>
          <w:sz w:val="18"/>
          <w:szCs w:val="18"/>
        </w:rPr>
        <w:t xml:space="preserve">Sortiment ponúkaného tovaru </w:t>
      </w:r>
      <w:r w:rsidR="00284338">
        <w:rPr>
          <w:rFonts w:ascii="Arial" w:eastAsia="Calibri" w:hAnsi="Arial" w:cs="Arial"/>
          <w:sz w:val="18"/>
          <w:szCs w:val="18"/>
        </w:rPr>
        <w:t>(príloha č. 7 súťažných podkladov)</w:t>
      </w:r>
    </w:p>
    <w:p w14:paraId="510F614D" w14:textId="6C1ED13C"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w:t>
      </w:r>
      <w:r w:rsidR="00284338" w:rsidRPr="00A83622">
        <w:rPr>
          <w:rFonts w:ascii="Arial" w:hAnsi="Arial" w:cs="Arial"/>
          <w:sz w:val="18"/>
          <w:szCs w:val="18"/>
        </w:rPr>
        <w:t xml:space="preserve">Zoznam </w:t>
      </w:r>
      <w:r w:rsidR="00284338">
        <w:rPr>
          <w:rFonts w:ascii="Arial" w:hAnsi="Arial" w:cs="Arial"/>
          <w:sz w:val="18"/>
          <w:szCs w:val="18"/>
        </w:rPr>
        <w:t xml:space="preserve">známych subdodávateľov </w:t>
      </w:r>
      <w:r w:rsidR="00284338">
        <w:rPr>
          <w:rFonts w:ascii="Arial" w:eastAsia="Calibri" w:hAnsi="Arial" w:cs="Arial"/>
          <w:sz w:val="18"/>
          <w:szCs w:val="18"/>
        </w:rPr>
        <w:t>(príloha č. 8 súťažných podkladov)</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357FEE1A" w14:textId="77777777" w:rsidR="00992F85"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lastRenderedPageBreak/>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MUDr. Štefan Lukačín,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7777777"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0D1140"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4983AE2"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0F17EB5D" w14:textId="446F3579" w:rsidR="00992F85" w:rsidRDefault="00532254" w:rsidP="002E774D">
            <w:pPr>
              <w:widowControl w:val="0"/>
              <w:tabs>
                <w:tab w:val="left" w:pos="567"/>
              </w:tabs>
              <w:spacing w:after="0"/>
              <w:jc w:val="center"/>
              <w:rPr>
                <w:rFonts w:ascii="Arial" w:eastAsia="Calibri" w:hAnsi="Arial" w:cs="Arial"/>
                <w:sz w:val="18"/>
                <w:szCs w:val="18"/>
              </w:rPr>
            </w:pPr>
            <w:proofErr w:type="spellStart"/>
            <w:r>
              <w:rPr>
                <w:rFonts w:ascii="Arial" w:eastAsia="Calibri" w:hAnsi="Arial" w:cs="Arial"/>
                <w:sz w:val="18"/>
                <w:szCs w:val="18"/>
              </w:rPr>
              <w:t>doc.MUDr.Martin</w:t>
            </w:r>
            <w:proofErr w:type="spellEnd"/>
            <w:r>
              <w:rPr>
                <w:rFonts w:ascii="Arial" w:eastAsia="Calibri" w:hAnsi="Arial" w:cs="Arial"/>
                <w:sz w:val="18"/>
                <w:szCs w:val="18"/>
              </w:rPr>
              <w:t xml:space="preserve"> Studenčan, PhD., MHA, FESC</w:t>
            </w:r>
          </w:p>
          <w:p w14:paraId="23ACFA9F" w14:textId="61B5F1F6" w:rsidR="00992F85" w:rsidRPr="000D1140" w:rsidRDefault="00532254" w:rsidP="002E774D">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podpredseda</w:t>
            </w:r>
            <w:r w:rsidR="00992F85">
              <w:rPr>
                <w:rFonts w:ascii="Arial" w:eastAsia="Calibri" w:hAnsi="Arial" w:cs="Arial"/>
                <w:sz w:val="18"/>
                <w:szCs w:val="18"/>
              </w:rPr>
              <w:t xml:space="preserve"> predstavenstva</w:t>
            </w:r>
          </w:p>
        </w:tc>
        <w:tc>
          <w:tcPr>
            <w:tcW w:w="567" w:type="dxa"/>
            <w:shd w:val="clear" w:color="auto" w:fill="auto"/>
          </w:tcPr>
          <w:p w14:paraId="3E176334"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0D1140"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sectPr w:rsidR="006759F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87B3" w14:textId="77777777" w:rsidR="00BD4384" w:rsidRDefault="00BD4384">
      <w:pPr>
        <w:spacing w:after="0" w:line="240" w:lineRule="auto"/>
      </w:pPr>
      <w:r>
        <w:separator/>
      </w:r>
    </w:p>
  </w:endnote>
  <w:endnote w:type="continuationSeparator" w:id="0">
    <w:p w14:paraId="1BA98C18" w14:textId="77777777" w:rsidR="00BD4384" w:rsidRDefault="00BD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31F46301"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284338">
          <w:rPr>
            <w:rFonts w:ascii="Arial" w:hAnsi="Arial" w:cs="Arial"/>
            <w:noProof/>
            <w:sz w:val="18"/>
          </w:rPr>
          <w:t>1</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C482" w14:textId="77777777" w:rsidR="00BD4384" w:rsidRDefault="00BD4384">
      <w:pPr>
        <w:spacing w:after="0" w:line="240" w:lineRule="auto"/>
      </w:pPr>
      <w:r>
        <w:separator/>
      </w:r>
    </w:p>
  </w:footnote>
  <w:footnote w:type="continuationSeparator" w:id="0">
    <w:p w14:paraId="568155B6" w14:textId="77777777" w:rsidR="00BD4384" w:rsidRDefault="00BD4384">
      <w:pPr>
        <w:spacing w:after="0" w:line="240" w:lineRule="auto"/>
      </w:pPr>
      <w:r>
        <w:continuationSeparator/>
      </w:r>
    </w:p>
  </w:footnote>
  <w:footnote w:id="1">
    <w:p w14:paraId="01240A57" w14:textId="3B20A34B" w:rsidR="003B5EE7" w:rsidRPr="004C2FD9" w:rsidRDefault="003B5EE7">
      <w:pPr>
        <w:pStyle w:val="Textpoznmkypodiarou"/>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4C2FD9" w:rsidRPr="004C2FD9">
        <w:rPr>
          <w:rFonts w:ascii="Arial" w:hAnsi="Arial" w:cs="Arial"/>
          <w:sz w:val="16"/>
          <w:szCs w:val="16"/>
        </w:rPr>
        <w:t>Do tohto bodu predávajúci uvedie výslednú cenu, ktorú predložil vo svojej ponuke (v prípade realizácie EA výslednú cenu po elektronickej aukcii)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1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6"/>
  </w:num>
  <w:num w:numId="5">
    <w:abstractNumId w:val="7"/>
  </w:num>
  <w:num w:numId="6">
    <w:abstractNumId w:val="15"/>
  </w:num>
  <w:num w:numId="7">
    <w:abstractNumId w:val="9"/>
  </w:num>
  <w:num w:numId="8">
    <w:abstractNumId w:val="11"/>
  </w:num>
  <w:num w:numId="9">
    <w:abstractNumId w:val="10"/>
  </w:num>
  <w:num w:numId="10">
    <w:abstractNumId w:val="17"/>
  </w:num>
  <w:num w:numId="11">
    <w:abstractNumId w:val="1"/>
  </w:num>
  <w:num w:numId="12">
    <w:abstractNumId w:val="12"/>
  </w:num>
  <w:num w:numId="13">
    <w:abstractNumId w:val="2"/>
  </w:num>
  <w:num w:numId="14">
    <w:abstractNumId w:val="13"/>
  </w:num>
  <w:num w:numId="15">
    <w:abstractNumId w:val="8"/>
  </w:num>
  <w:num w:numId="16">
    <w:abstractNumId w:val="3"/>
  </w:num>
  <w:num w:numId="17">
    <w:abstractNumId w:val="0"/>
  </w:num>
  <w:num w:numId="18">
    <w:abstractNumId w:val="14"/>
  </w:num>
  <w:num w:numId="19">
    <w:abstractNumId w:val="19"/>
  </w:num>
  <w:num w:numId="20">
    <w:abstractNumId w:val="1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74133"/>
    <w:rsid w:val="000E1775"/>
    <w:rsid w:val="001B2F7B"/>
    <w:rsid w:val="00284338"/>
    <w:rsid w:val="003356C4"/>
    <w:rsid w:val="003671F7"/>
    <w:rsid w:val="003B5EE7"/>
    <w:rsid w:val="00431849"/>
    <w:rsid w:val="004C2FD9"/>
    <w:rsid w:val="00532254"/>
    <w:rsid w:val="0053711B"/>
    <w:rsid w:val="0055439D"/>
    <w:rsid w:val="005A38F4"/>
    <w:rsid w:val="00602E89"/>
    <w:rsid w:val="006759F8"/>
    <w:rsid w:val="007A4FCF"/>
    <w:rsid w:val="00992F85"/>
    <w:rsid w:val="00A8113D"/>
    <w:rsid w:val="00B245B3"/>
    <w:rsid w:val="00BA5F22"/>
    <w:rsid w:val="00BD4384"/>
    <w:rsid w:val="00C250EB"/>
    <w:rsid w:val="00CD66EB"/>
    <w:rsid w:val="00E378B9"/>
    <w:rsid w:val="00F72BC9"/>
    <w:rsid w:val="00F86C47"/>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6A4E-8BFE-49A9-BEE0-0F4ABC3B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5148</Words>
  <Characters>29348</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Ing. Róbert Lucký</cp:lastModifiedBy>
  <cp:revision>3</cp:revision>
  <cp:lastPrinted>2024-10-11T10:07:00Z</cp:lastPrinted>
  <dcterms:created xsi:type="dcterms:W3CDTF">2024-10-15T10:01:00Z</dcterms:created>
  <dcterms:modified xsi:type="dcterms:W3CDTF">2024-12-03T09:24:00Z</dcterms:modified>
</cp:coreProperties>
</file>