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Pr>
          <w:rFonts w:ascii="Times New Roman" w:hAnsi="Times New Roman" w:cs="Times New Roman"/>
          <w:sz w:val="24"/>
          <w:szCs w:val="24"/>
        </w:rPr>
        <w:t>21</w:t>
      </w:r>
      <w:r>
        <w:rPr>
          <w:rFonts w:ascii="Times New Roman" w:hAnsi="Times New Roman" w:cs="Times New Roman"/>
          <w:sz w:val="24"/>
          <w:szCs w:val="24"/>
        </w:rPr>
        <w:t>.8.2017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bookmarkStart w:id="0" w:name="_GoBack"/>
      <w:bookmarkEnd w:id="0"/>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2C16F5" w:rsidRPr="008D5681" w:rsidRDefault="002C16F5" w:rsidP="002C16F5">
      <w:pPr>
        <w:jc w:val="both"/>
        <w:rPr>
          <w:rFonts w:ascii="Times New Roman" w:hAnsi="Times New Roman" w:cs="Times New Roman"/>
          <w:b/>
          <w:sz w:val="24"/>
          <w:szCs w:val="24"/>
        </w:rPr>
      </w:pPr>
    </w:p>
    <w:sectPr w:rsidR="002C16F5" w:rsidRPr="008D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C16F5"/>
    <w:rsid w:val="00314C23"/>
    <w:rsid w:val="00340F9E"/>
    <w:rsid w:val="00382FDB"/>
    <w:rsid w:val="003E5378"/>
    <w:rsid w:val="00403D2C"/>
    <w:rsid w:val="004400AD"/>
    <w:rsid w:val="00444C0F"/>
    <w:rsid w:val="00665B46"/>
    <w:rsid w:val="006A70FE"/>
    <w:rsid w:val="006E79CD"/>
    <w:rsid w:val="00726E13"/>
    <w:rsid w:val="00753F83"/>
    <w:rsid w:val="007E73DA"/>
    <w:rsid w:val="0084507F"/>
    <w:rsid w:val="008D5681"/>
    <w:rsid w:val="00934CAB"/>
    <w:rsid w:val="00AA7DB8"/>
    <w:rsid w:val="00BE6502"/>
    <w:rsid w:val="00C44DEC"/>
    <w:rsid w:val="00E17091"/>
    <w:rsid w:val="00E37F96"/>
    <w:rsid w:val="00EB3036"/>
    <w:rsid w:val="00EB3449"/>
    <w:rsid w:val="00FB6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E206"/>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20</Pages>
  <Words>5466</Words>
  <Characters>31158</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16</cp:revision>
  <dcterms:created xsi:type="dcterms:W3CDTF">2017-08-09T05:18:00Z</dcterms:created>
  <dcterms:modified xsi:type="dcterms:W3CDTF">2017-08-24T12:32:00Z</dcterms:modified>
</cp:coreProperties>
</file>