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475EA970" w:rsidR="00E25F7A" w:rsidRPr="00C9668B" w:rsidRDefault="00E25F7A" w:rsidP="0066699F">
      <w:pPr>
        <w:widowControl w:val="0"/>
      </w:pPr>
      <w:r w:rsidRPr="00C9668B">
        <w:t xml:space="preserve">Spis. zn. NL </w:t>
      </w:r>
      <w:r w:rsidR="005C331F">
        <w:t>6</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23A701EF" w:rsidR="00E25F7A" w:rsidRPr="00C9668B" w:rsidRDefault="00821C40" w:rsidP="00E25F7A">
      <w:pPr>
        <w:widowControl w:val="0"/>
        <w:jc w:val="center"/>
      </w:pPr>
      <w:r>
        <w:t>Služby</w:t>
      </w:r>
    </w:p>
    <w:p w14:paraId="6DB4F54F" w14:textId="77777777" w:rsidR="00E25F7A" w:rsidRPr="00C9668B" w:rsidRDefault="00E25F7A" w:rsidP="00E25F7A">
      <w:pPr>
        <w:widowControl w:val="0"/>
        <w:jc w:val="center"/>
        <w:rPr>
          <w:sz w:val="14"/>
        </w:rPr>
      </w:pPr>
    </w:p>
    <w:p w14:paraId="28229F5C" w14:textId="746A8D11" w:rsidR="00E25F7A" w:rsidRPr="0066699F" w:rsidRDefault="00E25F7A" w:rsidP="0066699F">
      <w:pPr>
        <w:widowControl w:val="0"/>
        <w:jc w:val="center"/>
        <w:rPr>
          <w:b/>
          <w:sz w:val="28"/>
          <w:szCs w:val="22"/>
        </w:rPr>
      </w:pPr>
      <w:r w:rsidRPr="009E5FE8">
        <w:rPr>
          <w:b/>
          <w:caps/>
          <w:spacing w:val="-6"/>
        </w:rPr>
        <w:t>„</w:t>
      </w:r>
      <w:r w:rsidR="005C331F">
        <w:rPr>
          <w:b/>
          <w:sz w:val="28"/>
          <w:szCs w:val="22"/>
        </w:rPr>
        <w:t>Čistenie vozidiel MHD</w:t>
      </w:r>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38EEE488" w:rsidR="002F271A" w:rsidRDefault="002F271A" w:rsidP="002F271A">
      <w:pPr>
        <w:widowControl w:val="0"/>
        <w:tabs>
          <w:tab w:val="right" w:leader="dot" w:pos="2340"/>
          <w:tab w:val="right" w:leader="dot" w:pos="3780"/>
          <w:tab w:val="right" w:leader="underscore" w:pos="9072"/>
        </w:tabs>
        <w:rPr>
          <w:rFonts w:cs="Arial"/>
          <w:sz w:val="22"/>
        </w:rPr>
      </w:pPr>
      <w:r w:rsidRPr="00E14068">
        <w:rPr>
          <w:rFonts w:cs="Arial"/>
          <w:color w:val="FF0000"/>
          <w:sz w:val="22"/>
        </w:rPr>
        <w:t xml:space="preserve">                                                                                                                        </w:t>
      </w:r>
      <w:r w:rsidR="00821C40">
        <w:rPr>
          <w:rFonts w:cs="Arial"/>
          <w:color w:val="FF0000"/>
          <w:sz w:val="22"/>
        </w:rPr>
        <w:t xml:space="preserve">  </w:t>
      </w:r>
      <w:r w:rsidR="00587553" w:rsidRPr="00430739">
        <w:rPr>
          <w:rFonts w:cs="Arial"/>
          <w:sz w:val="22"/>
        </w:rPr>
        <w:t xml:space="preserve">Ing. </w:t>
      </w:r>
      <w:r w:rsidR="00821C40">
        <w:rPr>
          <w:rFonts w:cs="Arial"/>
          <w:sz w:val="22"/>
        </w:rPr>
        <w:t>Jaroslava Dečmanová, PhD.</w:t>
      </w:r>
      <w:r w:rsidRPr="00430739">
        <w:rPr>
          <w:rFonts w:cs="Arial"/>
          <w:sz w:val="22"/>
        </w:rPr>
        <w:t xml:space="preserve"> </w:t>
      </w:r>
      <w:r w:rsidR="00C67D1F">
        <w:rPr>
          <w:rFonts w:cs="Arial"/>
          <w:sz w:val="22"/>
        </w:rPr>
        <w:t xml:space="preserve"> </w:t>
      </w:r>
    </w:p>
    <w:p w14:paraId="2C4B5F84" w14:textId="74B17D11" w:rsidR="002F271A" w:rsidRPr="00821C40" w:rsidRDefault="002F271A" w:rsidP="00DF48C7">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r w:rsidR="00821C40">
        <w:rPr>
          <w:rFonts w:cs="Arial"/>
          <w:sz w:val="22"/>
        </w:rPr>
        <w:t xml:space="preserve">        </w:t>
      </w:r>
      <w:r w:rsidR="00821C40">
        <w:rPr>
          <w:rFonts w:cs="Arial"/>
          <w:sz w:val="20"/>
          <w:szCs w:val="20"/>
        </w:rPr>
        <w:t>riaditeľka sekcie obchodu</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1CF7903" w:rsidR="008503D6" w:rsidRPr="00C0147A"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w:t>
      </w:r>
      <w:r w:rsidR="00C0147A">
        <w:rPr>
          <w:rFonts w:cs="Arial"/>
          <w:sz w:val="22"/>
        </w:rPr>
        <w:t xml:space="preserve">    </w:t>
      </w:r>
      <w:r w:rsidR="00821C40">
        <w:rPr>
          <w:rFonts w:cs="Arial"/>
          <w:sz w:val="22"/>
        </w:rPr>
        <w:t>Mgr. Gabriela Dikošová</w:t>
      </w:r>
    </w:p>
    <w:p w14:paraId="6CA5463F" w14:textId="63AB459E" w:rsidR="008503D6" w:rsidRPr="00C0147A" w:rsidRDefault="008503D6" w:rsidP="008503D6">
      <w:pPr>
        <w:widowControl w:val="0"/>
        <w:tabs>
          <w:tab w:val="right" w:leader="dot" w:pos="2340"/>
          <w:tab w:val="right" w:leader="dot" w:pos="3780"/>
          <w:tab w:val="right" w:leader="underscore" w:pos="9072"/>
        </w:tabs>
        <w:rPr>
          <w:rFonts w:cs="Arial"/>
          <w:sz w:val="22"/>
        </w:rPr>
      </w:pPr>
      <w:r w:rsidRPr="00C0147A">
        <w:rPr>
          <w:rFonts w:cs="Arial"/>
          <w:sz w:val="22"/>
        </w:rPr>
        <w:t xml:space="preserve">                                                                                                                             člen predstavenstva - C</w:t>
      </w:r>
      <w:r w:rsidR="00821C40">
        <w:rPr>
          <w:rFonts w:cs="Arial"/>
          <w:sz w:val="22"/>
        </w:rPr>
        <w:t>F</w:t>
      </w:r>
      <w:r w:rsidRPr="00C0147A">
        <w:rPr>
          <w:rFonts w:cs="Arial"/>
          <w:sz w:val="22"/>
        </w:rPr>
        <w:t>O</w:t>
      </w:r>
    </w:p>
    <w:p w14:paraId="6C3530D7"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4810DAA3"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Zmluvu o poskytnutí služby</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270436D3" w14:textId="3AD546D0"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 xml:space="preserve">v súlade s § 3 ods. 2 ZVO civilná zákazka na </w:t>
      </w:r>
      <w:r w:rsidR="00C960B5">
        <w:t xml:space="preserve">poskytnutie </w:t>
      </w:r>
      <w:r w:rsidR="0050104B">
        <w:t>služieb</w:t>
      </w:r>
      <w:r w:rsidR="00D559EA" w:rsidRPr="00596960">
        <w:t xml:space="preserve">. Predmetom </w:t>
      </w:r>
      <w:r w:rsidR="00D559EA">
        <w:t>zákazky je uzatvorenie</w:t>
      </w:r>
      <w:r w:rsidRPr="00C9668B">
        <w:t xml:space="preserve"> </w:t>
      </w:r>
      <w:r w:rsidR="005C331F">
        <w:t>rámcovej dohody</w:t>
      </w:r>
      <w:r w:rsidR="009B75A6">
        <w:t xml:space="preserve"> o</w:t>
      </w:r>
      <w:r w:rsidR="0050104B">
        <w:t> poskytovaní služ</w:t>
      </w:r>
      <w:r w:rsidR="005C331F">
        <w:t>ieb</w:t>
      </w:r>
      <w:r>
        <w:t xml:space="preserve"> (pre zjednodušenie sa pojem „</w:t>
      </w:r>
      <w:r w:rsidR="005C331F">
        <w:t>rámcová dohoda</w:t>
      </w:r>
      <w:r>
        <w:t>“ na účely týchto súťažných podkladov používa aj zameniteľne s pojmom „zákazka“)</w:t>
      </w:r>
      <w:r w:rsidRPr="00270555">
        <w:t>.</w:t>
      </w:r>
    </w:p>
    <w:p w14:paraId="2A904D90" w14:textId="419412E3" w:rsidR="00E036AD" w:rsidRDefault="007E7658" w:rsidP="008E0302">
      <w:pPr>
        <w:pStyle w:val="Odsekzoznamu"/>
        <w:widowControl w:val="0"/>
        <w:spacing w:before="200"/>
      </w:pPr>
      <w:r>
        <w:t xml:space="preserve">Predmetom zákazky </w:t>
      </w:r>
      <w:r w:rsidR="0050104B">
        <w:t xml:space="preserve">je služba - </w:t>
      </w:r>
      <w:r w:rsidR="0050104B" w:rsidRPr="00C2607A">
        <w:rPr>
          <w:bCs/>
          <w:lang w:eastAsia="cs-CZ"/>
        </w:rPr>
        <w:t xml:space="preserve">zabezpečenie poskytovania </w:t>
      </w:r>
      <w:r w:rsidR="0050104B" w:rsidRPr="00C2607A">
        <w:t>služ</w:t>
      </w:r>
      <w:r w:rsidR="005C331F">
        <w:t xml:space="preserve">ieb </w:t>
      </w:r>
      <w:r w:rsidR="008E0302" w:rsidRPr="008E0302">
        <w:t>čisteni</w:t>
      </w:r>
      <w:r w:rsidR="008E0302">
        <w:t>a</w:t>
      </w:r>
      <w:r w:rsidR="008E0302" w:rsidRPr="008E0302">
        <w:t xml:space="preserve"> vozidiel MHD (autobusy</w:t>
      </w:r>
      <w:r w:rsidR="008E0302">
        <w:t xml:space="preserve">, trolejbusy a električky </w:t>
      </w:r>
      <w:r w:rsidR="008E0302" w:rsidRPr="008E0302">
        <w:t>) – Stupeň čistenia „A“ – pravidelné denné ošetrenie – hygienické minimum, realizovaný v Miestach plnenia a zabezpečenie služieb podľa podmienok stanovených Zmluvou.</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lastRenderedPageBreak/>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1AB087F3" w14:textId="6FAEFDB3" w:rsidR="007E7658" w:rsidRPr="007E7658" w:rsidRDefault="008E0302" w:rsidP="00E25F7A">
      <w:pPr>
        <w:widowControl w:val="0"/>
        <w:ind w:left="709"/>
        <w:jc w:val="both"/>
        <w:rPr>
          <w:b/>
        </w:rPr>
      </w:pPr>
      <w:r>
        <w:rPr>
          <w:b/>
        </w:rPr>
        <w:t>Čistenie vozidiel MHD</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0A0AF9F5" w14:textId="77777777" w:rsidR="0050104B"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039491A3" w14:textId="76CDADA9" w:rsidR="008E0302" w:rsidRDefault="008E0302" w:rsidP="00DB0EB6">
      <w:pPr>
        <w:jc w:val="both"/>
        <w:rPr>
          <w:rFonts w:cstheme="minorHAnsi"/>
        </w:rPr>
      </w:pPr>
      <w:r>
        <w:rPr>
          <w:rFonts w:cstheme="minorHAnsi"/>
        </w:rPr>
        <w:t xml:space="preserve">            90900000-6 Čistiace sanitárne služby</w:t>
      </w:r>
    </w:p>
    <w:p w14:paraId="74692284" w14:textId="048137F4" w:rsidR="008E0302" w:rsidRPr="0050104B" w:rsidRDefault="008E0302" w:rsidP="00DB0EB6">
      <w:pPr>
        <w:jc w:val="both"/>
        <w:rPr>
          <w:rFonts w:cstheme="minorHAnsi"/>
        </w:rPr>
      </w:pPr>
      <w:r>
        <w:rPr>
          <w:rFonts w:cstheme="minorHAnsi"/>
        </w:rPr>
        <w:t xml:space="preserve">            90910000-9 Upratovacie služby</w:t>
      </w:r>
    </w:p>
    <w:p w14:paraId="36B6DEC8" w14:textId="62362DB3" w:rsidR="0050104B" w:rsidRPr="00495702" w:rsidRDefault="0050104B" w:rsidP="0050104B">
      <w:pPr>
        <w:pStyle w:val="Odsekzoznamu"/>
        <w:widowControl w:val="0"/>
        <w:numPr>
          <w:ilvl w:val="1"/>
          <w:numId w:val="1"/>
        </w:numPr>
        <w:spacing w:before="200" w:after="0" w:line="240" w:lineRule="auto"/>
        <w:ind w:left="720"/>
        <w:contextualSpacing w:val="0"/>
        <w:rPr>
          <w:rFonts w:cstheme="minorHAnsi"/>
        </w:rPr>
      </w:pPr>
      <w:r w:rsidRPr="00CC0338">
        <w:t xml:space="preserve">Predpokladaná hodnota zákazky </w:t>
      </w:r>
      <w:r w:rsidRPr="00022129">
        <w:t xml:space="preserve">je </w:t>
      </w:r>
      <w:bookmarkStart w:id="13" w:name="_Hlk159588190"/>
      <w:r w:rsidR="008E0302">
        <w:rPr>
          <w:b/>
          <w:bCs/>
        </w:rPr>
        <w:t>4 921 474,00</w:t>
      </w:r>
      <w:r w:rsidRPr="001A380E">
        <w:rPr>
          <w:b/>
          <w:bCs/>
          <w:color w:val="FF0000"/>
        </w:rPr>
        <w:t xml:space="preserve"> </w:t>
      </w:r>
      <w:bookmarkEnd w:id="13"/>
      <w:r w:rsidRPr="001A380E">
        <w:rPr>
          <w:b/>
          <w:bCs/>
        </w:rPr>
        <w:t>EUR bez DPH</w:t>
      </w:r>
      <w:r>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w:t>
      </w:r>
    </w:p>
    <w:p w14:paraId="51B3A025" w14:textId="5002024D" w:rsidR="00184B07" w:rsidRP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526B25">
        <w:t>ne</w:t>
      </w:r>
      <w:r w:rsidR="00D14436">
        <w:t xml:space="preserve">bude </w:t>
      </w:r>
      <w:r w:rsidR="00DC790D">
        <w:t>deliť</w:t>
      </w:r>
      <w:r w:rsidR="00D14436">
        <w:t xml:space="preserve"> na čast</w:t>
      </w:r>
      <w:r w:rsidR="00526B25">
        <w:t xml:space="preserve">i. </w:t>
      </w:r>
    </w:p>
    <w:p w14:paraId="78EE56F0" w14:textId="02838E07" w:rsidR="00184B07" w:rsidRPr="00184B07" w:rsidRDefault="00184B07" w:rsidP="00184B07">
      <w:pPr>
        <w:pStyle w:val="Odsekzoznamu"/>
        <w:widowControl w:val="0"/>
        <w:spacing w:before="200" w:after="0" w:line="240" w:lineRule="auto"/>
        <w:contextualSpacing w:val="0"/>
      </w:pPr>
      <w:r w:rsidRPr="00184B07">
        <w:t>Predmet zákazky nie je rozdelený na časti, nakoľko sa jedná o vecne súvisiace plnenia a zákazka tak tvorí jeden celok. Nerozdelením zákazky na časti preto nedochádza k obmedzeniu hospodárskej súťaže, nakoľko tak nedochádza k zúženiu počtu hospodárskych subjektov, ktoré by mohli predložiť ponuku. Uchádzač predloží ponuku na celý predmet zákazky.</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bookmarkEnd w:id="7"/>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0C603874" w:rsidR="00C01CFF" w:rsidRPr="009D4188" w:rsidRDefault="00C01CFF" w:rsidP="00C01CFF">
      <w:pPr>
        <w:pStyle w:val="Odsekzoznamu"/>
        <w:widowControl w:val="0"/>
        <w:numPr>
          <w:ilvl w:val="1"/>
          <w:numId w:val="1"/>
        </w:numPr>
        <w:spacing w:before="200" w:after="0" w:line="240" w:lineRule="auto"/>
        <w:ind w:left="720"/>
        <w:contextualSpacing w:val="0"/>
        <w:rPr>
          <w:szCs w:val="24"/>
          <w:highlight w:val="yellow"/>
        </w:rPr>
      </w:pPr>
      <w:r w:rsidRPr="009D4188">
        <w:rPr>
          <w:highlight w:val="yellow"/>
        </w:rPr>
        <w:t>Miestom dodania</w:t>
      </w:r>
      <w:r w:rsidR="00C960B5" w:rsidRPr="009D4188">
        <w:rPr>
          <w:highlight w:val="yellow"/>
        </w:rPr>
        <w:t xml:space="preserve">: </w:t>
      </w:r>
      <w:r w:rsidR="00C81D4D" w:rsidRPr="009D4188">
        <w:rPr>
          <w:szCs w:val="24"/>
          <w:highlight w:val="yellow"/>
        </w:rPr>
        <w:t>Dopravný podnik Bratislava, akciová spoločnosť</w:t>
      </w:r>
    </w:p>
    <w:p w14:paraId="782A9481" w14:textId="3040F5E6" w:rsidR="009D4188" w:rsidRPr="009D4188" w:rsidRDefault="009D4188" w:rsidP="009D4188">
      <w:pPr>
        <w:pStyle w:val="Odsekzoznamu"/>
        <w:widowControl w:val="0"/>
        <w:spacing w:before="200" w:after="0" w:line="240" w:lineRule="auto"/>
        <w:contextualSpacing w:val="0"/>
        <w:rPr>
          <w:szCs w:val="24"/>
          <w:highlight w:val="yellow"/>
        </w:rPr>
      </w:pPr>
      <w:r w:rsidRPr="009D4188">
        <w:rPr>
          <w:szCs w:val="24"/>
          <w:highlight w:val="yellow"/>
        </w:rPr>
        <w:t>Autobusy – depo Trnávka a Jurajov dvor, depo Petržalka</w:t>
      </w:r>
    </w:p>
    <w:p w14:paraId="20626A56" w14:textId="614E73A4" w:rsidR="009D4188" w:rsidRPr="009D4188" w:rsidRDefault="009D4188" w:rsidP="009D4188">
      <w:pPr>
        <w:pStyle w:val="Odsekzoznamu"/>
        <w:widowControl w:val="0"/>
        <w:spacing w:before="200" w:after="0" w:line="240" w:lineRule="auto"/>
        <w:contextualSpacing w:val="0"/>
        <w:rPr>
          <w:szCs w:val="24"/>
          <w:highlight w:val="yellow"/>
        </w:rPr>
      </w:pPr>
      <w:r w:rsidRPr="009D4188">
        <w:rPr>
          <w:szCs w:val="24"/>
          <w:highlight w:val="yellow"/>
        </w:rPr>
        <w:t xml:space="preserve">Trolejbusy – depo Trnávka, depo </w:t>
      </w:r>
      <w:proofErr w:type="spellStart"/>
      <w:r w:rsidRPr="009D4188">
        <w:rPr>
          <w:szCs w:val="24"/>
          <w:highlight w:val="yellow"/>
        </w:rPr>
        <w:t>Hroboňova</w:t>
      </w:r>
      <w:proofErr w:type="spellEnd"/>
    </w:p>
    <w:p w14:paraId="245A1EEF" w14:textId="7DAA3D3C" w:rsidR="009D4188" w:rsidRPr="00D75321" w:rsidRDefault="009D4188" w:rsidP="009D4188">
      <w:pPr>
        <w:pStyle w:val="Odsekzoznamu"/>
        <w:widowControl w:val="0"/>
        <w:spacing w:before="200" w:after="0" w:line="240" w:lineRule="auto"/>
        <w:contextualSpacing w:val="0"/>
        <w:rPr>
          <w:szCs w:val="24"/>
        </w:rPr>
      </w:pPr>
      <w:r w:rsidRPr="009D4188">
        <w:rPr>
          <w:szCs w:val="24"/>
          <w:highlight w:val="yellow"/>
        </w:rPr>
        <w:t>Električky – depo Krasňany, depo Jurajov dvor</w:t>
      </w:r>
    </w:p>
    <w:p w14:paraId="75D80995" w14:textId="2207EE12" w:rsidR="00C32077" w:rsidRPr="006258D5" w:rsidRDefault="00C32077" w:rsidP="00C32077">
      <w:pPr>
        <w:pStyle w:val="Odsekzoznamu"/>
        <w:widowControl w:val="0"/>
        <w:numPr>
          <w:ilvl w:val="1"/>
          <w:numId w:val="1"/>
        </w:numPr>
        <w:spacing w:before="200" w:after="0" w:line="240" w:lineRule="auto"/>
        <w:ind w:left="720"/>
        <w:contextualSpacing w:val="0"/>
        <w:rPr>
          <w:b/>
          <w:bCs/>
        </w:rPr>
      </w:pPr>
      <w:r>
        <w:rPr>
          <w:rFonts w:eastAsia="Times New Roman"/>
        </w:rPr>
        <w:t>Rámcová dohoda</w:t>
      </w:r>
      <w:r w:rsidR="00C960B5">
        <w:rPr>
          <w:rFonts w:eastAsia="Times New Roman"/>
        </w:rPr>
        <w:t xml:space="preserve"> </w:t>
      </w:r>
      <w:r w:rsidR="00F035DF" w:rsidRPr="009568F0">
        <w:rPr>
          <w:rFonts w:cs="Arial"/>
          <w:szCs w:val="24"/>
        </w:rPr>
        <w:t>sa</w:t>
      </w:r>
      <w:r w:rsidR="00F035DF" w:rsidRPr="009568F0">
        <w:rPr>
          <w:szCs w:val="24"/>
        </w:rPr>
        <w:t xml:space="preserve"> </w:t>
      </w:r>
      <w:r w:rsidR="00F035DF" w:rsidRPr="009568F0">
        <w:rPr>
          <w:bCs/>
          <w:szCs w:val="24"/>
        </w:rPr>
        <w:t>uzatvára</w:t>
      </w:r>
      <w:r w:rsidR="00F035DF" w:rsidRPr="009568F0">
        <w:rPr>
          <w:szCs w:val="24"/>
        </w:rPr>
        <w:t xml:space="preserve"> na dobu určitú, a to </w:t>
      </w:r>
      <w:r w:rsidR="00F035DF" w:rsidRPr="009568F0">
        <w:rPr>
          <w:b/>
          <w:szCs w:val="24"/>
        </w:rPr>
        <w:t xml:space="preserve">na </w:t>
      </w:r>
      <w:r w:rsidR="00C960B5">
        <w:rPr>
          <w:b/>
          <w:szCs w:val="24"/>
        </w:rPr>
        <w:t>48</w:t>
      </w:r>
      <w:r w:rsidR="00F035DF" w:rsidRPr="009568F0">
        <w:rPr>
          <w:b/>
          <w:szCs w:val="24"/>
        </w:rPr>
        <w:t xml:space="preserve"> mesiacov</w:t>
      </w:r>
      <w:r w:rsidR="00F035DF" w:rsidRPr="009568F0">
        <w:rPr>
          <w:szCs w:val="24"/>
        </w:rPr>
        <w:t xml:space="preserve"> odo dňa účinnosti Zmluvy; </w:t>
      </w:r>
      <w:r w:rsidR="00C81D4D">
        <w:rPr>
          <w:szCs w:val="24"/>
        </w:rPr>
        <w:t>s možnosťou opcie na ďalších 48 mesiacov.</w:t>
      </w:r>
      <w:r>
        <w:rPr>
          <w:szCs w:val="24"/>
        </w:rPr>
        <w:t xml:space="preserve"> Realizácia nasledujúci deň po </w:t>
      </w:r>
      <w:r w:rsidR="00B563DB">
        <w:rPr>
          <w:szCs w:val="24"/>
        </w:rPr>
        <w:t xml:space="preserve">nadobudnutí účinnosti </w:t>
      </w:r>
      <w:r w:rsidR="00B563DB">
        <w:rPr>
          <w:szCs w:val="24"/>
        </w:rPr>
        <w:lastRenderedPageBreak/>
        <w:t>rámcovej dohody o poskytovaní služieb.</w:t>
      </w:r>
    </w:p>
    <w:p w14:paraId="5A6083AE" w14:textId="77777777" w:rsidR="006258D5" w:rsidRPr="00C32077" w:rsidRDefault="006258D5" w:rsidP="006258D5">
      <w:pPr>
        <w:pStyle w:val="Odsekzoznamu"/>
        <w:widowControl w:val="0"/>
        <w:spacing w:before="200" w:after="0" w:line="240" w:lineRule="auto"/>
        <w:contextualSpacing w:val="0"/>
        <w:rPr>
          <w:b/>
          <w:bCs/>
        </w:rPr>
      </w:pP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4" w:name="_Ref494980052"/>
      <w:bookmarkStart w:id="25" w:name="_Toc495055045"/>
      <w:bookmarkStart w:id="26" w:name="_Toc141084532"/>
      <w:bookmarkStart w:id="27" w:name="_Toc459733171"/>
      <w:r w:rsidRPr="00C9668B">
        <w:rPr>
          <w:rFonts w:cs="Arial"/>
          <w:bCs/>
        </w:rPr>
        <w:t xml:space="preserve">Obhliadka </w:t>
      </w:r>
      <w:r w:rsidR="00C9668B">
        <w:rPr>
          <w:rFonts w:cs="Arial"/>
          <w:bCs/>
        </w:rPr>
        <w:t xml:space="preserve">miesta </w:t>
      </w:r>
      <w:bookmarkEnd w:id="24"/>
      <w:bookmarkEnd w:id="25"/>
      <w:r w:rsidR="007232E1">
        <w:rPr>
          <w:rFonts w:cs="Arial"/>
          <w:bCs/>
        </w:rPr>
        <w:t>realizácie predmetu zákazky</w:t>
      </w:r>
      <w:bookmarkEnd w:id="26"/>
    </w:p>
    <w:p w14:paraId="5BE9AA61" w14:textId="7D11B742" w:rsidR="006E0030" w:rsidRDefault="006E0030" w:rsidP="006E0030">
      <w:pPr>
        <w:pStyle w:val="Odsekzoznamu"/>
        <w:widowControl w:val="0"/>
        <w:numPr>
          <w:ilvl w:val="1"/>
          <w:numId w:val="1"/>
        </w:numPr>
        <w:spacing w:before="200" w:after="0" w:line="240" w:lineRule="auto"/>
        <w:ind w:left="720"/>
        <w:contextualSpacing w:val="0"/>
      </w:pPr>
      <w:r w:rsidRPr="00B1323F">
        <w:rPr>
          <w:bCs/>
        </w:rPr>
        <w:t>Obhliadk</w:t>
      </w:r>
      <w:r w:rsidR="00AC28A2">
        <w:rPr>
          <w:bCs/>
        </w:rPr>
        <w:t>u</w:t>
      </w:r>
      <w:r w:rsidRPr="00B1323F">
        <w:rPr>
          <w:bCs/>
        </w:rPr>
        <w:t xml:space="preserve"> miesta </w:t>
      </w:r>
      <w:r>
        <w:rPr>
          <w:bCs/>
        </w:rPr>
        <w:t>poskytovania</w:t>
      </w:r>
      <w:r w:rsidRPr="00B1323F">
        <w:rPr>
          <w:bCs/>
        </w:rPr>
        <w:t xml:space="preserve"> predmetu zákazky </w:t>
      </w:r>
      <w:r w:rsidR="00AC28A2">
        <w:rPr>
          <w:bCs/>
        </w:rPr>
        <w:t>o</w:t>
      </w:r>
      <w:r w:rsidRPr="00B1323F">
        <w:rPr>
          <w:bCs/>
        </w:rPr>
        <w:t xml:space="preserve">bstarávateľská organizácia </w:t>
      </w:r>
      <w:r>
        <w:rPr>
          <w:bCs/>
        </w:rPr>
        <w:t>umožňuje a</w:t>
      </w:r>
      <w:r w:rsidR="00AC28A2">
        <w:rPr>
          <w:bCs/>
        </w:rPr>
        <w:t xml:space="preserve"> výrazne</w:t>
      </w:r>
      <w:r>
        <w:rPr>
          <w:bCs/>
        </w:rPr>
        <w:t> odporúča</w:t>
      </w:r>
      <w:r>
        <w:t>. Je povinnosťou uchádzača, aby vykonal všetky potrebné úkony pre získanie všetkých informácií, ktoré sú potrebné pre vypracovanie ponuky. Skutočnosť, že uchádzač sa dostatočne neoboznámi s podmienkami verejného obstarávania, ho nezbavuje záväzkov a povinností, za ktoré bude v priebehu trvania Zmluvy zodpovedný.</w:t>
      </w:r>
    </w:p>
    <w:p w14:paraId="390F974B" w14:textId="13E5ADDA" w:rsidR="006E0030" w:rsidRPr="002D62C3" w:rsidRDefault="006E0030" w:rsidP="006E0030">
      <w:pPr>
        <w:pStyle w:val="Odsekzoznamu"/>
        <w:widowControl w:val="0"/>
        <w:numPr>
          <w:ilvl w:val="1"/>
          <w:numId w:val="1"/>
        </w:numPr>
        <w:spacing w:before="200" w:after="0" w:line="240" w:lineRule="auto"/>
        <w:ind w:left="720"/>
        <w:contextualSpacing w:val="0"/>
      </w:pPr>
      <w:r>
        <w:t>Obstarávateľská organizácia umožňuje, aby sa záujemca zúčastnil obhliadky na účely overenia a získania potrebných informácií nevyhnutných na prípravu a spracovanie ponuky. Výdavky spojené s obhliadkou miesta poskytovania predmetu zákazky idú na ťarchu záujemcu.</w:t>
      </w:r>
    </w:p>
    <w:p w14:paraId="7CC3E119" w14:textId="3B3C85FA" w:rsidR="00B563DB" w:rsidRDefault="00C32077" w:rsidP="006E0030">
      <w:pPr>
        <w:pStyle w:val="Odsekzoznamu"/>
        <w:widowControl w:val="0"/>
        <w:numPr>
          <w:ilvl w:val="1"/>
          <w:numId w:val="1"/>
        </w:numPr>
        <w:spacing w:before="200" w:after="0" w:line="240" w:lineRule="auto"/>
        <w:ind w:left="720"/>
        <w:contextualSpacing w:val="0"/>
      </w:pPr>
      <w:r w:rsidRPr="00C32077">
        <w:t>Obhliadka miesta dodania predmetu zákazky po osobnom dohovore,</w:t>
      </w:r>
    </w:p>
    <w:p w14:paraId="5DCF3B6A" w14:textId="77777777" w:rsidR="00B563DB" w:rsidRDefault="00B563DB" w:rsidP="00B563DB">
      <w:pPr>
        <w:widowControl w:val="0"/>
        <w:ind w:left="709"/>
      </w:pPr>
    </w:p>
    <w:p w14:paraId="5D887952" w14:textId="341730B2" w:rsidR="00B563DB" w:rsidRDefault="00B563DB" w:rsidP="00B563DB">
      <w:pPr>
        <w:widowControl w:val="0"/>
        <w:ind w:left="709"/>
      </w:pPr>
      <w:r>
        <w:t xml:space="preserve">Autobusy: Michal Hrubša, tel. č.: 02/5950 2592  </w:t>
      </w:r>
    </w:p>
    <w:p w14:paraId="4915DE29" w14:textId="0FE089E8" w:rsidR="00B563DB" w:rsidRDefault="00B563DB" w:rsidP="00B563DB">
      <w:pPr>
        <w:widowControl w:val="0"/>
        <w:ind w:left="709"/>
      </w:pPr>
      <w:r>
        <w:t xml:space="preserve">Trolejbusy: Róbert Špaček, tel. č.: 02/5950 4240  </w:t>
      </w:r>
    </w:p>
    <w:p w14:paraId="2526089A" w14:textId="57205EC5" w:rsidR="00B563DB" w:rsidRDefault="00B563DB" w:rsidP="00B563DB">
      <w:pPr>
        <w:widowControl w:val="0"/>
        <w:ind w:left="709"/>
      </w:pPr>
      <w:r>
        <w:t xml:space="preserve">Električky: Ing. Rafaj Vladimír, tel. č.: 02/5950 3422  </w:t>
      </w:r>
    </w:p>
    <w:p w14:paraId="5F927228" w14:textId="77777777" w:rsidR="006E0030" w:rsidRDefault="006E0030" w:rsidP="00B563DB">
      <w:pPr>
        <w:widowControl w:val="0"/>
        <w:ind w:left="709"/>
      </w:pPr>
    </w:p>
    <w:p w14:paraId="37BDE974" w14:textId="77777777" w:rsidR="006E0030" w:rsidRDefault="006E0030" w:rsidP="006E0030">
      <w:pPr>
        <w:pStyle w:val="Odsekzoznamu"/>
        <w:widowControl w:val="0"/>
        <w:numPr>
          <w:ilvl w:val="1"/>
          <w:numId w:val="1"/>
        </w:numPr>
        <w:spacing w:before="200" w:after="0" w:line="240" w:lineRule="auto"/>
        <w:ind w:left="720"/>
        <w:contextualSpacing w:val="0"/>
      </w:pPr>
      <w:r w:rsidRPr="00C9668B">
        <w:t>Z  vykonanej obhliadky z dôvodu transparentnosti a </w:t>
      </w:r>
      <w:proofErr w:type="spellStart"/>
      <w:r w:rsidRPr="00C9668B">
        <w:t>preskúmateľnosti</w:t>
      </w:r>
      <w:proofErr w:type="spellEnd"/>
      <w:r w:rsidRPr="00C9668B">
        <w:t xml:space="preserve"> priebehu procesu verejného obstarávania bude vyhotovená zápisnica</w:t>
      </w:r>
      <w:r>
        <w:t>, ktorá bude súčasťou dokumentácie z verejného obstarávania.</w:t>
      </w:r>
    </w:p>
    <w:p w14:paraId="7360B344" w14:textId="214ED966" w:rsidR="006E0030" w:rsidRPr="00C81D4D" w:rsidRDefault="006E0030" w:rsidP="006E0030">
      <w:pPr>
        <w:pStyle w:val="Odsekzoznamu"/>
        <w:widowControl w:val="0"/>
        <w:numPr>
          <w:ilvl w:val="1"/>
          <w:numId w:val="1"/>
        </w:numPr>
        <w:spacing w:before="200" w:after="0" w:line="240" w:lineRule="auto"/>
        <w:ind w:left="720"/>
        <w:contextualSpacing w:val="0"/>
      </w:pPr>
      <w:r w:rsidRPr="002D62C3">
        <w:t xml:space="preserve">Predmetom obhliadky je oboznámenie sa s miestom </w:t>
      </w:r>
      <w:r>
        <w:t>poskytovania</w:t>
      </w:r>
      <w:r w:rsidRPr="002D62C3">
        <w:t xml:space="preserve"> predmetu</w:t>
      </w:r>
      <w:r w:rsidRPr="002D62C3" w:rsidDel="00357AA2">
        <w:t xml:space="preserve"> </w:t>
      </w:r>
      <w:r w:rsidRPr="002D62C3">
        <w:t>zákazky, a teda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w:t>
      </w:r>
      <w:r>
        <w:t>4</w:t>
      </w:r>
      <w:r w:rsidRPr="002D62C3">
        <w:t xml:space="preserve"> týchto súťažných podkladov.</w:t>
      </w:r>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28" w:name="_Toc141084533"/>
      <w:r w:rsidRPr="00C9668B">
        <w:t>Druh zákazky</w:t>
      </w:r>
      <w:bookmarkEnd w:id="27"/>
      <w:bookmarkEnd w:id="28"/>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190ACC56" w:rsidR="004E4A3D" w:rsidRPr="00C01CFF" w:rsidRDefault="00B563DB" w:rsidP="00C01CFF">
      <w:pPr>
        <w:widowControl w:val="0"/>
        <w:ind w:left="720"/>
        <w:jc w:val="both"/>
        <w:rPr>
          <w:b/>
        </w:rPr>
      </w:pPr>
      <w:r>
        <w:rPr>
          <w:b/>
        </w:rPr>
        <w:t>Rámcová dohoda o poskytovaní služieb</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29" w:name="_Toc459733172"/>
      <w:bookmarkStart w:id="30" w:name="_Toc141084534"/>
      <w:r w:rsidRPr="00C9668B">
        <w:t>Lehota viazanosti pon</w:t>
      </w:r>
      <w:r w:rsidR="007F2AEE" w:rsidRPr="00C9668B">
        <w:t>úk</w:t>
      </w:r>
      <w:bookmarkEnd w:id="29"/>
      <w:bookmarkEnd w:id="30"/>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1" w:name="_Toc459733173"/>
      <w:bookmarkStart w:id="32" w:name="_Toc141084535"/>
      <w:r w:rsidRPr="00C9668B">
        <w:t>II</w:t>
      </w:r>
      <w:r w:rsidR="004E4A3D" w:rsidRPr="00C9668B">
        <w:t>. Dorozumievanie a vysvetľovanie</w:t>
      </w:r>
      <w:bookmarkEnd w:id="31"/>
      <w:bookmarkEnd w:id="32"/>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3" w:name="_Toc459733174"/>
      <w:bookmarkStart w:id="34" w:name="_Toc141084536"/>
      <w:r w:rsidRPr="00C9668B">
        <w:t>Dorozumievanie</w:t>
      </w:r>
      <w:bookmarkEnd w:id="33"/>
      <w:bookmarkEnd w:id="34"/>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 xml:space="preserve">ou organizáciou a záujemcami alebo uchádzačmi sa uskutočňuje </w:t>
      </w:r>
      <w:r w:rsidRPr="00270555">
        <w:lastRenderedPageBreak/>
        <w:t>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xml:space="preserve">.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w:t>
      </w:r>
      <w:r w:rsidRPr="00270555">
        <w:rPr>
          <w:rFonts w:cs="Arial"/>
          <w:spacing w:val="-1"/>
          <w:szCs w:val="24"/>
        </w:rPr>
        <w:lastRenderedPageBreak/>
        <w:t>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5" w:name="_Toc459733175"/>
      <w:bookmarkStart w:id="36" w:name="_Toc141084537"/>
      <w:r w:rsidRPr="00C9668B">
        <w:t>Určenie lehôt</w:t>
      </w:r>
      <w:bookmarkEnd w:id="35"/>
      <w:bookmarkEnd w:id="36"/>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37" w:name="_Toc459733176"/>
      <w:bookmarkStart w:id="38" w:name="_Toc141084538"/>
      <w:r w:rsidRPr="00C9668B">
        <w:t>Vysvetľovanie a doplnenie súťažných podkladov</w:t>
      </w:r>
      <w:bookmarkEnd w:id="37"/>
      <w:bookmarkEnd w:id="38"/>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39" w:name="_Toc369511210"/>
    </w:p>
    <w:p w14:paraId="1FA003B1" w14:textId="77777777" w:rsidR="004E4A3D" w:rsidRDefault="00687657" w:rsidP="00FE4F84">
      <w:pPr>
        <w:pStyle w:val="Nadpis2"/>
        <w:keepNext w:val="0"/>
        <w:widowControl w:val="0"/>
        <w:tabs>
          <w:tab w:val="clear" w:pos="540"/>
          <w:tab w:val="num" w:pos="0"/>
        </w:tabs>
        <w:rPr>
          <w:szCs w:val="26"/>
        </w:rPr>
      </w:pPr>
      <w:bookmarkStart w:id="40" w:name="_Toc459733178"/>
      <w:bookmarkStart w:id="41" w:name="_Toc141084539"/>
      <w:r w:rsidRPr="00C9668B">
        <w:rPr>
          <w:szCs w:val="22"/>
        </w:rPr>
        <w:t>III</w:t>
      </w:r>
      <w:r w:rsidR="004E4A3D" w:rsidRPr="00C9668B">
        <w:rPr>
          <w:szCs w:val="22"/>
        </w:rPr>
        <w:t xml:space="preserve">. </w:t>
      </w:r>
      <w:r w:rsidR="004E4A3D" w:rsidRPr="00C9668B">
        <w:rPr>
          <w:szCs w:val="26"/>
        </w:rPr>
        <w:t>Príprava ponuky</w:t>
      </w:r>
      <w:bookmarkEnd w:id="39"/>
      <w:bookmarkEnd w:id="40"/>
      <w:bookmarkEnd w:id="41"/>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2" w:name="_Toc369511211"/>
      <w:bookmarkStart w:id="43" w:name="_Toc459733179"/>
      <w:bookmarkStart w:id="44" w:name="_Toc141084540"/>
      <w:r w:rsidRPr="00C9668B">
        <w:t>Vyhotovenie a forma ponuky</w:t>
      </w:r>
      <w:bookmarkEnd w:id="42"/>
      <w:bookmarkEnd w:id="43"/>
      <w:bookmarkEnd w:id="44"/>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lastRenderedPageBreak/>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0BB0C9C"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informácie neobsahuje.</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2"/>
      <w:bookmarkStart w:id="46" w:name="_Toc459733180"/>
      <w:bookmarkStart w:id="47" w:name="_Toc141084541"/>
      <w:r w:rsidRPr="00C9668B">
        <w:t>Jazyk ponuky</w:t>
      </w:r>
      <w:bookmarkEnd w:id="45"/>
      <w:bookmarkEnd w:id="46"/>
      <w:bookmarkEnd w:id="47"/>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3"/>
      <w:bookmarkStart w:id="49" w:name="_Toc459733181"/>
      <w:bookmarkStart w:id="50" w:name="_Toc141084542"/>
      <w:r w:rsidRPr="00C9668B">
        <w:t>Mena a ceny uvádzané v ponuke</w:t>
      </w:r>
      <w:bookmarkEnd w:id="48"/>
      <w:bookmarkEnd w:id="49"/>
      <w:bookmarkEnd w:id="50"/>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1" w:name="_Toc7862027"/>
      <w:bookmarkStart w:id="52" w:name="_Toc141084543"/>
      <w:r w:rsidRPr="00136FA4">
        <w:t>Zábezpeka</w:t>
      </w:r>
      <w:bookmarkEnd w:id="51"/>
      <w:bookmarkEnd w:id="52"/>
    </w:p>
    <w:p w14:paraId="6CA2588F" w14:textId="4663382A" w:rsidR="009B7410" w:rsidRPr="009B7410" w:rsidRDefault="009B7410" w:rsidP="009B7410">
      <w:pPr>
        <w:numPr>
          <w:ilvl w:val="1"/>
          <w:numId w:val="1"/>
        </w:numPr>
        <w:spacing w:line="276" w:lineRule="auto"/>
        <w:ind w:left="720"/>
        <w:contextualSpacing/>
        <w:jc w:val="both"/>
        <w:rPr>
          <w:rFonts w:eastAsia="Calibri"/>
          <w:szCs w:val="22"/>
          <w:lang w:eastAsia="en-US"/>
        </w:rPr>
      </w:pPr>
      <w:bookmarkStart w:id="53" w:name="_Hlk127459481"/>
      <w:r w:rsidRPr="009B7410">
        <w:rPr>
          <w:rFonts w:eastAsia="Calibri"/>
          <w:szCs w:val="22"/>
          <w:lang w:eastAsia="en-US"/>
        </w:rPr>
        <w:lastRenderedPageBreak/>
        <w:t xml:space="preserve">Zábezpeka je stanovená vo výške </w:t>
      </w:r>
      <w:r>
        <w:rPr>
          <w:rFonts w:eastAsia="Calibri"/>
          <w:b/>
          <w:color w:val="FF0000"/>
          <w:szCs w:val="22"/>
          <w:lang w:eastAsia="en-US"/>
        </w:rPr>
        <w:t>2</w:t>
      </w:r>
      <w:r w:rsidRPr="009B7410">
        <w:rPr>
          <w:rFonts w:eastAsia="Calibri"/>
          <w:b/>
          <w:color w:val="FF0000"/>
          <w:szCs w:val="22"/>
          <w:lang w:eastAsia="en-US"/>
        </w:rPr>
        <w:t>00 000,- EUR</w:t>
      </w:r>
      <w:r w:rsidRPr="009B7410">
        <w:rPr>
          <w:rFonts w:eastAsia="Calibri"/>
          <w:color w:val="FF0000"/>
          <w:szCs w:val="22"/>
          <w:lang w:eastAsia="en-US"/>
        </w:rPr>
        <w:t xml:space="preserve"> </w:t>
      </w:r>
      <w:bookmarkEnd w:id="53"/>
      <w:r w:rsidRPr="009B7410">
        <w:rPr>
          <w:rFonts w:eastAsia="Calibri"/>
          <w:szCs w:val="22"/>
          <w:lang w:eastAsia="en-US"/>
        </w:rPr>
        <w:t xml:space="preserve">(slovom: </w:t>
      </w:r>
      <w:r>
        <w:rPr>
          <w:rFonts w:eastAsia="Calibri"/>
          <w:szCs w:val="22"/>
          <w:lang w:eastAsia="en-US"/>
        </w:rPr>
        <w:t>dve</w:t>
      </w:r>
      <w:r w:rsidRPr="009B7410">
        <w:rPr>
          <w:rFonts w:eastAsia="Calibri"/>
          <w:szCs w:val="22"/>
          <w:lang w:eastAsia="en-US"/>
        </w:rPr>
        <w:t>stotisíc eur).</w:t>
      </w:r>
    </w:p>
    <w:p w14:paraId="2B2C4C27"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Spôsoby zloženia zábezpeky:</w:t>
      </w:r>
    </w:p>
    <w:p w14:paraId="5D7244B7"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Zložením finančných prostriedkov na bankový účet obstarávateľskej organizácie;</w:t>
      </w:r>
    </w:p>
    <w:p w14:paraId="03C3047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Poskytnutím bankovej záruky za uchádzača;</w:t>
      </w:r>
    </w:p>
    <w:p w14:paraId="6B8DFC0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Poistením záruky;</w:t>
      </w:r>
    </w:p>
    <w:p w14:paraId="4109787F" w14:textId="77777777" w:rsidR="009B7410" w:rsidRPr="009B7410" w:rsidRDefault="009B7410" w:rsidP="009B7410">
      <w:pPr>
        <w:widowControl w:val="0"/>
        <w:spacing w:after="60"/>
        <w:ind w:left="720"/>
        <w:rPr>
          <w:rFonts w:cs="Arial"/>
        </w:rPr>
      </w:pPr>
      <w:r w:rsidRPr="009B7410">
        <w:rPr>
          <w:rFonts w:cs="Arial"/>
        </w:rPr>
        <w:t>Spôsob zloženia zábezpeky si vyberie uchádzač.</w:t>
      </w:r>
    </w:p>
    <w:p w14:paraId="23607A94"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zloženia zábezpeky na bankový účet obstarávateľskej organizácie:</w:t>
      </w:r>
    </w:p>
    <w:p w14:paraId="474B3C75" w14:textId="77777777" w:rsidR="009B7410" w:rsidRPr="009B7410" w:rsidRDefault="009B7410" w:rsidP="009B7410">
      <w:pPr>
        <w:widowControl w:val="0"/>
        <w:numPr>
          <w:ilvl w:val="0"/>
          <w:numId w:val="12"/>
        </w:numPr>
        <w:ind w:left="1260"/>
        <w:jc w:val="both"/>
        <w:rPr>
          <w:rFonts w:cs="Arial"/>
        </w:rPr>
      </w:pPr>
      <w:r w:rsidRPr="009B7410">
        <w:rPr>
          <w:rFonts w:cs="Arial"/>
        </w:rPr>
        <w:t>Finančné prostriedky musia byť pripísané na účte obstarávateľskej organizácie najneskôr v deň uplynutia lehoty na predkladania ponúk.</w:t>
      </w:r>
    </w:p>
    <w:p w14:paraId="2C5B334A"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Bankové spojenie: VÚB, </w:t>
      </w:r>
    </w:p>
    <w:p w14:paraId="41CB6F1B" w14:textId="77777777" w:rsidR="009B7410" w:rsidRPr="009B7410" w:rsidRDefault="009B7410" w:rsidP="009B7410">
      <w:pPr>
        <w:widowControl w:val="0"/>
        <w:numPr>
          <w:ilvl w:val="0"/>
          <w:numId w:val="13"/>
        </w:numPr>
        <w:ind w:left="1620"/>
        <w:jc w:val="both"/>
        <w:rPr>
          <w:rFonts w:cs="Arial"/>
        </w:rPr>
      </w:pPr>
      <w:r w:rsidRPr="009B7410">
        <w:rPr>
          <w:rFonts w:cs="Arial"/>
        </w:rPr>
        <w:t xml:space="preserve">na číslo účtu: IBAN: SK98 0200 0000 0000 4800 9012, </w:t>
      </w:r>
    </w:p>
    <w:p w14:paraId="347234C1"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BIC (SWIFT): </w:t>
      </w:r>
      <w:r w:rsidRPr="009B7410">
        <w:rPr>
          <w:rFonts w:cs="Arial"/>
          <w:color w:val="121212"/>
        </w:rPr>
        <w:t>SUBASKBX,</w:t>
      </w:r>
      <w:r w:rsidRPr="009B7410">
        <w:rPr>
          <w:rFonts w:cs="Arial"/>
        </w:rPr>
        <w:t xml:space="preserve"> </w:t>
      </w:r>
    </w:p>
    <w:p w14:paraId="1C5E90B4" w14:textId="77777777" w:rsidR="009B7410" w:rsidRPr="009B7410" w:rsidRDefault="009B7410" w:rsidP="009B7410">
      <w:pPr>
        <w:widowControl w:val="0"/>
        <w:numPr>
          <w:ilvl w:val="0"/>
          <w:numId w:val="13"/>
        </w:numPr>
        <w:ind w:left="1620"/>
        <w:jc w:val="both"/>
        <w:rPr>
          <w:rFonts w:cs="Arial"/>
        </w:rPr>
      </w:pPr>
      <w:r w:rsidRPr="009B7410">
        <w:rPr>
          <w:rFonts w:cs="Arial"/>
        </w:rPr>
        <w:t>variabilný symbol: IČO uchádzača,</w:t>
      </w:r>
    </w:p>
    <w:p w14:paraId="72E212E4" w14:textId="08CC9655" w:rsidR="009B7410" w:rsidRPr="009B7410" w:rsidRDefault="009B7410" w:rsidP="009B7410">
      <w:pPr>
        <w:widowControl w:val="0"/>
        <w:numPr>
          <w:ilvl w:val="0"/>
          <w:numId w:val="13"/>
        </w:numPr>
        <w:ind w:left="1620"/>
        <w:jc w:val="both"/>
        <w:rPr>
          <w:rFonts w:cs="Arial"/>
        </w:rPr>
      </w:pPr>
      <w:r w:rsidRPr="009B7410">
        <w:rPr>
          <w:rFonts w:cs="Arial"/>
        </w:rPr>
        <w:t xml:space="preserve">účel platby: zábezpeka </w:t>
      </w:r>
      <w:r>
        <w:rPr>
          <w:rFonts w:cs="Arial"/>
        </w:rPr>
        <w:t>–</w:t>
      </w:r>
      <w:r>
        <w:rPr>
          <w:rFonts w:cs="Arial"/>
          <w:b/>
          <w:noProof/>
        </w:rPr>
        <w:t xml:space="preserve"> Čistenie vozidiel MHD</w:t>
      </w:r>
    </w:p>
    <w:p w14:paraId="65FBBC4C" w14:textId="77777777" w:rsidR="009B7410" w:rsidRPr="009B7410" w:rsidRDefault="009B7410" w:rsidP="009B7410">
      <w:pPr>
        <w:widowControl w:val="0"/>
        <w:numPr>
          <w:ilvl w:val="0"/>
          <w:numId w:val="13"/>
        </w:numPr>
        <w:ind w:left="1620"/>
        <w:jc w:val="both"/>
        <w:rPr>
          <w:rFonts w:cs="Arial"/>
        </w:rPr>
      </w:pPr>
      <w:r w:rsidRPr="009B7410">
        <w:rPr>
          <w:rFonts w:cs="Arial"/>
        </w:rPr>
        <w:t>mena účtu: EUR</w:t>
      </w:r>
    </w:p>
    <w:p w14:paraId="0573990A" w14:textId="77777777" w:rsidR="009B7410" w:rsidRPr="009B7410" w:rsidRDefault="009B7410" w:rsidP="009B7410">
      <w:pPr>
        <w:widowControl w:val="0"/>
        <w:numPr>
          <w:ilvl w:val="0"/>
          <w:numId w:val="12"/>
        </w:numPr>
        <w:ind w:left="1260"/>
        <w:jc w:val="both"/>
        <w:rPr>
          <w:rFonts w:cs="Arial"/>
        </w:rPr>
      </w:pPr>
      <w:r w:rsidRPr="009B7410">
        <w:rPr>
          <w:rFonts w:cs="Arial"/>
        </w:rPr>
        <w:t xml:space="preserve">Doba viazanosti zábezpeky formou zloženia finančných prostriedkov na účet obstarávateľskej organizácie trvá až do uzavretia </w:t>
      </w:r>
      <w:r w:rsidRPr="009B7410">
        <w:rPr>
          <w:noProof/>
        </w:rPr>
        <w:t>Zmluvy</w:t>
      </w:r>
      <w:r w:rsidRPr="009B7410">
        <w:rPr>
          <w:rFonts w:cs="Arial"/>
        </w:rPr>
        <w:t>, resp. najneskôr do uplynutia lehoty viazanosti ponúk. Výnimka skoršieho vrátenia zloženej zábezpeky sa uplatní iba v prípade podľa bodu 18.7.</w:t>
      </w:r>
    </w:p>
    <w:p w14:paraId="3EC2B78D" w14:textId="77777777" w:rsidR="009B7410" w:rsidRPr="009B7410" w:rsidRDefault="009B7410" w:rsidP="009B7410">
      <w:pPr>
        <w:widowControl w:val="0"/>
        <w:numPr>
          <w:ilvl w:val="0"/>
          <w:numId w:val="12"/>
        </w:numPr>
        <w:ind w:left="1260"/>
        <w:jc w:val="both"/>
        <w:rPr>
          <w:rFonts w:cs="Arial"/>
        </w:rPr>
      </w:pPr>
      <w:r w:rsidRPr="009B7410">
        <w:rPr>
          <w:rFonts w:cs="Arial"/>
        </w:rPr>
        <w:t xml:space="preserve">Ak finančné prostriedky nebudú pripísané na uvedenom účte obstarávateľskej organizácie v stanovenej výške alebo ak nebudú zložené v stanovenom čase, bude uchádzač z verejného obstarávania vylúčený v zmysle § 53 ods. 5 písm. a) </w:t>
      </w:r>
      <w:r w:rsidRPr="009B7410">
        <w:rPr>
          <w:noProof/>
        </w:rPr>
        <w:t>ZVO</w:t>
      </w:r>
      <w:r w:rsidRPr="009B7410">
        <w:rPr>
          <w:rFonts w:cs="Arial"/>
        </w:rPr>
        <w:t xml:space="preserve">. </w:t>
      </w:r>
    </w:p>
    <w:p w14:paraId="4F08686D"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bankovej záruky za uchádzača:</w:t>
      </w:r>
    </w:p>
    <w:p w14:paraId="109AED06"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bankovej záruky sa riadi ustanoveniami § 313 až § 322 Obchodného zákonníka </w:t>
      </w:r>
      <w:r w:rsidRPr="009B7410">
        <w:rPr>
          <w:rFonts w:cs="Arial"/>
          <w:noProof/>
        </w:rPr>
        <w:t>alebo ekvivalentnou právnou úpravou v štáte sídla uchádzača, miesta podnikania alebo obvyklého pobytu uchádzača.</w:t>
      </w:r>
    </w:p>
    <w:p w14:paraId="2283C756" w14:textId="77777777" w:rsidR="009B7410" w:rsidRPr="009B7410" w:rsidRDefault="009B7410" w:rsidP="009B7410">
      <w:pPr>
        <w:widowControl w:val="0"/>
        <w:numPr>
          <w:ilvl w:val="0"/>
          <w:numId w:val="12"/>
        </w:numPr>
        <w:ind w:left="1260"/>
        <w:jc w:val="both"/>
        <w:rPr>
          <w:rFonts w:cs="Arial"/>
        </w:rPr>
      </w:pPr>
      <w:bookmarkStart w:id="54" w:name="_Hlk69930662"/>
      <w:r w:rsidRPr="009B7410">
        <w:t xml:space="preserve">Banková záruka musí byť uzatvorená tak, že oprávnenou osobou z bankovej záruky je </w:t>
      </w:r>
      <w:r w:rsidRPr="009B7410">
        <w:rPr>
          <w:noProof/>
          <w:color w:val="212121"/>
          <w:shd w:val="clear" w:color="auto" w:fill="FFFFFF"/>
        </w:rPr>
        <w:t>obstarávateľská organizácia.</w:t>
      </w:r>
    </w:p>
    <w:bookmarkEnd w:id="54"/>
    <w:p w14:paraId="34830503"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môže byť vystavená bankou so sídlom v Slovenskej republike, pobočkou zahraničnej banky v Slovenskej republike alebo zahraničnou bankou. </w:t>
      </w:r>
    </w:p>
    <w:p w14:paraId="2164049B" w14:textId="77777777" w:rsidR="009B7410" w:rsidRPr="009B7410" w:rsidRDefault="009B7410" w:rsidP="009B7410">
      <w:pPr>
        <w:widowControl w:val="0"/>
        <w:numPr>
          <w:ilvl w:val="0"/>
          <w:numId w:val="12"/>
        </w:numPr>
        <w:ind w:left="1260"/>
        <w:jc w:val="both"/>
        <w:rPr>
          <w:rFonts w:cs="Arial"/>
        </w:rPr>
      </w:pPr>
      <w:r w:rsidRPr="009B7410">
        <w:rPr>
          <w:rFonts w:cs="Arial"/>
        </w:rPr>
        <w:t>Doba platnosti bankovej záruky musí byť v záručnej listine vymedzená do skončenia lehoty viazanosti ponúk.</w:t>
      </w:r>
    </w:p>
    <w:p w14:paraId="151170D9" w14:textId="77777777" w:rsidR="009B7410" w:rsidRPr="009B7410" w:rsidRDefault="009B7410" w:rsidP="009B7410">
      <w:pPr>
        <w:widowControl w:val="0"/>
        <w:numPr>
          <w:ilvl w:val="0"/>
          <w:numId w:val="12"/>
        </w:numPr>
        <w:ind w:left="1260"/>
        <w:jc w:val="both"/>
        <w:rPr>
          <w:rFonts w:cs="Arial"/>
        </w:rPr>
      </w:pPr>
      <w:bookmarkStart w:id="55" w:name="_Hlk69931599"/>
      <w:bookmarkStart w:id="56" w:name="_Hlk69930687"/>
      <w:r w:rsidRPr="009B7410">
        <w:t>Z dokladu vystaveného bankou musí ďalej vyplývať, že banka uspokojí oprávnenú osobu (obstarávateľskú organizáciu) vo výške zábezpeky podľa bodu 18.1 za uchádzača v prípade, že uchádzač odstúpi od svojej ponuky alebo neposkytne súčinnosť alebo odmietne uzavrieť rámcovú dohodu podľa </w:t>
      </w:r>
      <w:hyperlink r:id="rId18" w:anchor="paragraf-56.odsek-8" w:tooltip="Odkaz na predpis alebo ustanovenie" w:history="1">
        <w:r w:rsidRPr="009B7410">
          <w:t>§ 56 ods. 8 až 12</w:t>
        </w:r>
      </w:hyperlink>
      <w:r w:rsidRPr="009B7410">
        <w:t xml:space="preserve"> ZVO</w:t>
      </w:r>
      <w:r w:rsidRPr="009B7410">
        <w:rPr>
          <w:bCs/>
        </w:rPr>
        <w:t>, pričom v texte dokladu vystaveného bankou musí byť súťaž nezameniteľne identifikovateľná napr. značkou oznámenia o vyhlá</w:t>
      </w:r>
      <w:r w:rsidRPr="009B7410">
        <w:t>sení verejného obstarávania</w:t>
      </w:r>
      <w:bookmarkEnd w:id="55"/>
      <w:r w:rsidRPr="009B7410">
        <w:t>.</w:t>
      </w:r>
    </w:p>
    <w:bookmarkEnd w:id="56"/>
    <w:p w14:paraId="5922F3B2"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v ktorej banka písomne vyhlási, že uspokojí obstarávateľskú organizáciu (veriteľa) za uchádzača do výšky finančných prostriedkov, ktoré veriteľ požaduje ako zábezpeku viazanosti ponuky uchádzača podľa bodu 18.1, a to ak odstúpi od svojej ponuky po lehote na predkladanie ponúk </w:t>
      </w:r>
      <w:r w:rsidRPr="009B7410">
        <w:t>alebo neposkytne súčinnosť alebo odmietne uzavrieť rámcovú dohodu podľa </w:t>
      </w:r>
      <w:hyperlink r:id="rId19" w:anchor="paragraf-56.odsek-8" w:tooltip="Odkaz na predpis alebo ustanovenie" w:history="1">
        <w:r w:rsidRPr="009B7410">
          <w:t>§ 56 ods. 8 až 12</w:t>
        </w:r>
      </w:hyperlink>
      <w:r w:rsidRPr="009B7410">
        <w:t xml:space="preserve"> ZVO</w:t>
      </w:r>
      <w:r w:rsidRPr="009B7410">
        <w:rPr>
          <w:rFonts w:cs="Arial"/>
        </w:rPr>
        <w:t>, musí byť súčasťou ponuky.</w:t>
      </w:r>
    </w:p>
    <w:p w14:paraId="2CEBDCB7" w14:textId="6C6F4BD7" w:rsidR="009B7410" w:rsidRPr="009B7410" w:rsidRDefault="009B7410" w:rsidP="009B7410">
      <w:pPr>
        <w:widowControl w:val="0"/>
        <w:numPr>
          <w:ilvl w:val="0"/>
          <w:numId w:val="12"/>
        </w:numPr>
        <w:ind w:left="1260"/>
        <w:jc w:val="both"/>
        <w:rPr>
          <w:noProof/>
          <w:color w:val="212121"/>
          <w:shd w:val="clear" w:color="auto" w:fill="FFFFFF"/>
        </w:rPr>
      </w:pPr>
      <w:bookmarkStart w:id="57" w:name="_Hlk50625948"/>
      <w:r w:rsidRPr="009B7410">
        <w:rPr>
          <w:b/>
          <w:bCs/>
          <w:noProof/>
          <w:color w:val="212121"/>
          <w:shd w:val="clear" w:color="auto" w:fill="FFFFFF"/>
        </w:rPr>
        <w:t>Banková záruka</w:t>
      </w:r>
      <w:r w:rsidRPr="009B7410">
        <w:rPr>
          <w:noProof/>
          <w:color w:val="212121"/>
          <w:shd w:val="clear" w:color="auto" w:fill="FFFFFF"/>
        </w:rPr>
        <w:t> sa predkladá v originálnom vyhotovení. V prípade, ak banka umožňuje vydanie a akceptáciu bankovej záruky v elektronickej podobe a aj v prípade dokumentu v elektronickom formáte vydaného pomocou zaručenej konverzie obstarávateľská organizácia akceptuje aj takto vydanú bankovú záruku. Originál dokumentu v elektronickej podobe predkladá uchádzač spolu s ponukou. V prípade listinného predkladania uchádzač predkladá bankovú záruku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bankovej zá</w:t>
      </w:r>
      <w:r w:rsidRPr="009B7410">
        <w:rPr>
          <w:noProof/>
          <w:color w:val="212121"/>
          <w:shd w:val="clear" w:color="auto" w:fill="FFFFFF"/>
        </w:rPr>
        <w:t xml:space="preserve">ruky je uchádzač povinný predložiť v rámci lehoty na predkladanie ponúk. V prípade, ak bude v bankovej záruke uvedená požiadavka banky na vrátenie </w:t>
      </w:r>
      <w:r w:rsidRPr="009B7410">
        <w:rPr>
          <w:noProof/>
          <w:color w:val="212121"/>
          <w:shd w:val="clear" w:color="auto" w:fill="FFFFFF"/>
        </w:rPr>
        <w:lastRenderedPageBreak/>
        <w:t>predloženého originálu bankovej záruky, uchádzač doloží úradne osvedčenú kópiu bankovej záruky, ktorá zostane súčasťou dokumentácie z predmetného verejného obstarávania</w:t>
      </w:r>
      <w:bookmarkEnd w:id="57"/>
      <w:r w:rsidRPr="009B7410">
        <w:rPr>
          <w:noProof/>
          <w:color w:val="212121"/>
          <w:shd w:val="clear" w:color="auto" w:fill="FFFFFF"/>
        </w:rPr>
        <w:t>.</w:t>
      </w:r>
    </w:p>
    <w:p w14:paraId="6F7F2548" w14:textId="77777777" w:rsidR="009B7410" w:rsidRPr="009B7410" w:rsidRDefault="009B7410" w:rsidP="009B7410">
      <w:pPr>
        <w:widowControl w:val="0"/>
        <w:numPr>
          <w:ilvl w:val="0"/>
          <w:numId w:val="12"/>
        </w:numPr>
        <w:ind w:left="1260"/>
        <w:jc w:val="both"/>
        <w:rPr>
          <w:rFonts w:cs="Arial"/>
        </w:rPr>
      </w:pPr>
      <w:r w:rsidRPr="009B7410">
        <w:rPr>
          <w:rFonts w:cs="Arial"/>
        </w:rPr>
        <w:t>Banková záruka vystavená zahraničnou bankou musí byť predložená v origináli v pôvodnom jazyku a súčasne preložená do slovenského jazyka</w:t>
      </w:r>
    </w:p>
    <w:p w14:paraId="7BC61BF6"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banková záruka bude súčasťou elektronickej ponuky ako scan a v lehote na predkladanie ponúk nebude doručený originál bankovej záruky na adresu obstarávateľskej organizácie uvedenú v bode 2. Identifikácia obstarávateľskej organizácie (neplatí pre prípad elektronicky vyhotovenej bankovej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EVO požiada uchádzača o jeho doručenie v lehote 5 pracovných dní odo dňa doručenia žiadosti. </w:t>
      </w:r>
    </w:p>
    <w:p w14:paraId="7A2BA047"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Ak banková záruka nebude súčasťou elektronickej ponuky a súčasne v lehote na predkladanie ponúk nebude originál bankovej záruky doručený na adresu obstarávateľskej organizácie, obstarávateľská organizácia v súlade s § 53 ods. 5 písm. a) zákona o verejnom obstarávaní vyhodnotí, že uchádzač nezložil zábezpeku podľa určených podmienok a ponuka uchádzača bude vylúčená.</w:t>
      </w:r>
    </w:p>
    <w:p w14:paraId="76B0C3FE"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poistenia záruky za uchádzača:</w:t>
      </w:r>
    </w:p>
    <w:p w14:paraId="765BDF61"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poistenia záruky sa riadi ustanoveniami zákona č. 39/2015 Z. z. o poisťovníctve a o zmene a doplnení niektorých zákonov v platnom znení </w:t>
      </w:r>
      <w:r w:rsidRPr="009B7410">
        <w:rPr>
          <w:rFonts w:cs="Arial"/>
          <w:noProof/>
        </w:rPr>
        <w:t>alebo ekvivalentnou právnou úpravou v štáte sídla uchádzača, miesta podnikania alebo obvyklého pobytu uchádzača.</w:t>
      </w:r>
    </w:p>
    <w:p w14:paraId="3D959309" w14:textId="77777777" w:rsidR="009B7410" w:rsidRPr="009B7410" w:rsidRDefault="009B7410" w:rsidP="009B7410">
      <w:pPr>
        <w:widowControl w:val="0"/>
        <w:numPr>
          <w:ilvl w:val="0"/>
          <w:numId w:val="12"/>
        </w:numPr>
        <w:ind w:left="1260"/>
        <w:jc w:val="both"/>
        <w:rPr>
          <w:rFonts w:cs="Arial"/>
        </w:rPr>
      </w:pPr>
      <w:bookmarkStart w:id="58" w:name="_Hlk69931508"/>
      <w:r w:rsidRPr="009B7410">
        <w:t xml:space="preserve">Poistná zmluva musí byť uzatvorená tak, že poisteným je uchádzač a oprávnenou osobou z poistnej zmluvy je </w:t>
      </w:r>
      <w:r w:rsidRPr="009B7410">
        <w:rPr>
          <w:noProof/>
          <w:color w:val="212121"/>
          <w:shd w:val="clear" w:color="auto" w:fill="FFFFFF"/>
        </w:rPr>
        <w:t>obstarávateľská organizácia</w:t>
      </w:r>
      <w:r w:rsidRPr="009B7410">
        <w:t>.</w:t>
      </w:r>
      <w:r w:rsidRPr="009B7410">
        <w:rPr>
          <w:rFonts w:cs="Arial"/>
        </w:rPr>
        <w:t xml:space="preserve"> </w:t>
      </w:r>
    </w:p>
    <w:bookmarkEnd w:id="58"/>
    <w:p w14:paraId="2E36916B" w14:textId="77777777" w:rsidR="009B7410" w:rsidRPr="009B7410" w:rsidRDefault="009B7410" w:rsidP="009B7410">
      <w:pPr>
        <w:widowControl w:val="0"/>
        <w:numPr>
          <w:ilvl w:val="0"/>
          <w:numId w:val="12"/>
        </w:numPr>
        <w:ind w:left="1260"/>
        <w:jc w:val="both"/>
        <w:rPr>
          <w:rFonts w:cs="Arial"/>
        </w:rPr>
      </w:pPr>
      <w:r w:rsidRPr="009B7410">
        <w:t>Doba platnosti poistenia záruky musí byť určená v poistnej zmluve, ako aj v doklade vystavenom poisťovňou o existencii poistenia záruky, minimálne do skončenia lehoty viazanosti ponúk.</w:t>
      </w:r>
    </w:p>
    <w:p w14:paraId="7E7584D8" w14:textId="77777777" w:rsidR="009B7410" w:rsidRPr="009B7410" w:rsidRDefault="009B7410" w:rsidP="009B7410">
      <w:pPr>
        <w:widowControl w:val="0"/>
        <w:numPr>
          <w:ilvl w:val="0"/>
          <w:numId w:val="12"/>
        </w:numPr>
        <w:ind w:left="1260"/>
        <w:jc w:val="both"/>
        <w:rPr>
          <w:rFonts w:cs="Arial"/>
        </w:rPr>
      </w:pPr>
      <w:r w:rsidRPr="009B7410">
        <w:t>Z dokladu vystaveného poisťovňou musí ďalej vyplývať, že poisťovňa uspokojí oprávnenú osobu (</w:t>
      </w:r>
      <w:r w:rsidRPr="009B7410">
        <w:rPr>
          <w:rFonts w:cs="Arial"/>
        </w:rPr>
        <w:t>obstarávateľskú organizáciu</w:t>
      </w:r>
      <w:r w:rsidRPr="009B7410">
        <w:t>) za poisteného (uchádzača) do výšky zábezpeky podľa bodu 18.1 v prípade, ak uchádzač odstúpi od svojej ponuky alebo neposkytne súčinnosť alebo odmietne uzavrieť rámcovú dohodu podľa </w:t>
      </w:r>
      <w:hyperlink r:id="rId20" w:anchor="paragraf-56.odsek-8" w:tooltip="Odkaz na predpis alebo ustanovenie" w:history="1">
        <w:r w:rsidRPr="009B7410">
          <w:t>§ 56 ods. 8 až 12</w:t>
        </w:r>
      </w:hyperlink>
      <w:r w:rsidRPr="009B7410">
        <w:t xml:space="preserve"> ZVO</w:t>
      </w:r>
      <w:r w:rsidRPr="009B7410">
        <w:rPr>
          <w:bCs/>
        </w:rPr>
        <w:t>, pričom v texte dokladu vystaveného poisťovňou musí byť súťaž nezameniteľne identifikovateľná napr. značkou oznámenia o vyhlá</w:t>
      </w:r>
      <w:r w:rsidRPr="009B7410">
        <w:t>sení verejného obstarávania</w:t>
      </w:r>
      <w:r w:rsidRPr="009B7410">
        <w:rPr>
          <w:rFonts w:cs="Arial"/>
        </w:rPr>
        <w:t xml:space="preserve">. </w:t>
      </w:r>
    </w:p>
    <w:p w14:paraId="7D763D8A" w14:textId="77777777" w:rsidR="009B7410" w:rsidRPr="009B7410" w:rsidRDefault="009B7410" w:rsidP="009B7410">
      <w:pPr>
        <w:widowControl w:val="0"/>
        <w:numPr>
          <w:ilvl w:val="0"/>
          <w:numId w:val="12"/>
        </w:numPr>
        <w:ind w:left="1260"/>
        <w:jc w:val="both"/>
        <w:rPr>
          <w:rFonts w:cs="Arial"/>
        </w:rPr>
      </w:pPr>
      <w:r w:rsidRPr="009B7410">
        <w:t xml:space="preserve">Poisťovňa sa musí bezpodmienečne zaviazať zaplatiť na účet </w:t>
      </w:r>
      <w:r w:rsidRPr="009B7410">
        <w:rPr>
          <w:rFonts w:cs="Arial"/>
        </w:rPr>
        <w:t>obstarávateľskej organizácie</w:t>
      </w:r>
      <w:r w:rsidRPr="009B7410">
        <w:t xml:space="preserve"> pohľadávku krytú poistením záruky bezodkladne po doručení výzvy obstarávateľskej organizácie na jej zaplatenie.</w:t>
      </w:r>
    </w:p>
    <w:p w14:paraId="3C23C6B4" w14:textId="77777777" w:rsidR="009B7410" w:rsidRPr="009B7410" w:rsidRDefault="009B7410" w:rsidP="009B7410">
      <w:pPr>
        <w:widowControl w:val="0"/>
        <w:numPr>
          <w:ilvl w:val="0"/>
          <w:numId w:val="12"/>
        </w:numPr>
        <w:ind w:left="1260"/>
        <w:jc w:val="both"/>
        <w:rPr>
          <w:rFonts w:cs="Arial"/>
        </w:rPr>
      </w:pPr>
      <w:r w:rsidRPr="009B7410">
        <w:t xml:space="preserve">Poistenie záruky vzniká dňom uzavretia poistnej zmluvy medzi poisťovňou a poisteným (uchádzačom) a zábezpeka vzniká doručením dokladu vystaveného poisťovňou o poistení záruky </w:t>
      </w:r>
      <w:r w:rsidRPr="009B7410">
        <w:rPr>
          <w:rFonts w:cs="Arial"/>
        </w:rPr>
        <w:t>obstarávateľskej organizácii</w:t>
      </w:r>
      <w:r w:rsidRPr="009B7410">
        <w:t>.</w:t>
      </w:r>
    </w:p>
    <w:p w14:paraId="438AACB3" w14:textId="7AC9DBDD" w:rsidR="009B7410" w:rsidRPr="009B7410" w:rsidRDefault="009B7410" w:rsidP="009B7410">
      <w:pPr>
        <w:widowControl w:val="0"/>
        <w:numPr>
          <w:ilvl w:val="0"/>
          <w:numId w:val="12"/>
        </w:numPr>
        <w:ind w:left="1260"/>
        <w:jc w:val="both"/>
        <w:rPr>
          <w:noProof/>
          <w:color w:val="212121"/>
          <w:shd w:val="clear" w:color="auto" w:fill="FFFFFF"/>
        </w:rPr>
      </w:pPr>
      <w:bookmarkStart w:id="59" w:name="_Hlk50628573"/>
      <w:r w:rsidRPr="009B7410">
        <w:rPr>
          <w:noProof/>
          <w:color w:val="212121"/>
          <w:shd w:val="clear" w:color="auto" w:fill="FFFFFF"/>
        </w:rPr>
        <w:t>Poistenie záruky sa predkladá v originálnom vyhotovení. V prípade, ak poisťovňa umožňuje vydanie a akceptáciu poistenia záruky v elektronickej podobe a aj v prípade dokumentu v elektronickom formáte vydaného pomocou zaručenej konverzie, obstarávateľská organizácia akceptuje aj takto vydané poistenie záruky. Originál dokumentu v elektronickej podobe predkladá uchádzač spolu s ponukou. V prípade listinného predkladania uchádzač predkladá poistenie záruky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poistenia záruky je</w:t>
      </w:r>
      <w:r w:rsidRPr="009B7410">
        <w:rPr>
          <w:noProof/>
          <w:color w:val="212121"/>
          <w:shd w:val="clear" w:color="auto" w:fill="FFFFFF"/>
        </w:rPr>
        <w:t xml:space="preserve"> uchádzač povinný predložiť v rámci lehoty na predkladanie ponúk.V prípade, ak bude v poistení záruky uvedená požiadavka poisťovne na vrátenie predloženého originálu poistenia záruky, uchádzač doloží úradne osvedčenú kópiu poistenia záruky, ktorá zostane súčasťou dokumentácie z predmetného verejného obstarávania</w:t>
      </w:r>
      <w:bookmarkEnd w:id="59"/>
      <w:r w:rsidRPr="009B7410">
        <w:rPr>
          <w:noProof/>
          <w:color w:val="212121"/>
          <w:shd w:val="clear" w:color="auto" w:fill="FFFFFF"/>
        </w:rPr>
        <w:t>.</w:t>
      </w:r>
    </w:p>
    <w:p w14:paraId="3A10298B" w14:textId="480C88C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poistenie záruky bude súčasťou elektronickej ponuky ako scan a v lehote na predkladanie ponúk nebude doručený originál poistenia záruky na adresu obstarávateľskej organizácie uvedenú v bode 2. Identifikácia obstarávateľskej organizácie (neplatí pre prípad elektronicky vyhotoveného poistenia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w:t>
      </w:r>
      <w:r w:rsidR="00B962A0">
        <w:rPr>
          <w:noProof/>
          <w:color w:val="212121"/>
          <w:shd w:val="clear" w:color="auto" w:fill="FFFFFF"/>
        </w:rPr>
        <w:t>JOSEPHINE</w:t>
      </w:r>
      <w:r w:rsidRPr="009B7410">
        <w:rPr>
          <w:noProof/>
          <w:color w:val="212121"/>
          <w:shd w:val="clear" w:color="auto" w:fill="FFFFFF"/>
        </w:rPr>
        <w:t xml:space="preserve"> požiada uchádzača o jeho doručenie v lehote 5 pracovných dní odo dňa </w:t>
      </w:r>
      <w:r w:rsidRPr="009B7410">
        <w:rPr>
          <w:noProof/>
          <w:color w:val="212121"/>
          <w:shd w:val="clear" w:color="auto" w:fill="FFFFFF"/>
        </w:rPr>
        <w:lastRenderedPageBreak/>
        <w:t xml:space="preserve">doručenia žiadosti. </w:t>
      </w:r>
    </w:p>
    <w:p w14:paraId="19167D29"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Ak poistenie záruky nebude súčasťou elektronickej ponuky a súčasne v lehote na predkladanie ponúk nebude originál poistenia záruky doručený na adresu obstarávateľskej organizácie, obstarávateľská organizácia v súlade s § 53 ods. 5 písm. a) zákona o verejnom obstarávaní vyhodnotí, že uchádzač nezložil zábezpeku podľa určených podmienok a ponuka uchádzača bude vylúčená.</w:t>
      </w:r>
    </w:p>
    <w:p w14:paraId="0ECC4233" w14:textId="77777777" w:rsidR="009B7410" w:rsidRPr="009B7410" w:rsidRDefault="009B7410" w:rsidP="009B7410">
      <w:pPr>
        <w:widowControl w:val="0"/>
        <w:numPr>
          <w:ilvl w:val="0"/>
          <w:numId w:val="12"/>
        </w:numPr>
        <w:ind w:left="1260"/>
        <w:jc w:val="both"/>
        <w:rPr>
          <w:rFonts w:cs="Arial"/>
        </w:rPr>
      </w:pPr>
      <w:r w:rsidRPr="009B7410">
        <w:rPr>
          <w:rFonts w:cs="Arial"/>
        </w:rPr>
        <w:t>Poistenie záruky vystavené zahraničnou poisťovňou musí byť predložené v origináli v pôvodnom jazyku a súčasne preložené do slovenského jazyka.</w:t>
      </w:r>
    </w:p>
    <w:p w14:paraId="4D1449C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Ak zábezpeka nebude súčasťou ponuky, bude ponuka uchádzača z verejného obstarávania vylúčená v zmysle § 53 ods. 5 písm. a) ZVO.</w:t>
      </w:r>
    </w:p>
    <w:p w14:paraId="1E5E904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Obstarávateľská organizácia vráti alebo uvoľní zábezpeku:</w:t>
      </w:r>
    </w:p>
    <w:p w14:paraId="2CD12CB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uplynutia lehoty viazanosti ponúk.</w:t>
      </w:r>
    </w:p>
    <w:p w14:paraId="6FAC275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márneho uplynutia lehoty na doručenie námietky, ak  obstarávateľská organizácia uchádzača vylúčila z verejného obstarávania alebo ak  obstarávateľská organizácia zruší použitý postup zadávania zákazky,</w:t>
      </w:r>
    </w:p>
    <w:p w14:paraId="3A6D1DED" w14:textId="77777777" w:rsidR="009B7410" w:rsidRPr="009B7410" w:rsidRDefault="009B7410" w:rsidP="009B7410">
      <w:pPr>
        <w:widowControl w:val="0"/>
        <w:numPr>
          <w:ilvl w:val="0"/>
          <w:numId w:val="12"/>
        </w:numPr>
        <w:ind w:left="1260"/>
        <w:jc w:val="both"/>
        <w:rPr>
          <w:rFonts w:cs="Arial"/>
          <w:spacing w:val="-4"/>
        </w:rPr>
      </w:pPr>
      <w:r w:rsidRPr="009B7410">
        <w:rPr>
          <w:rFonts w:cs="Arial"/>
        </w:rPr>
        <w:t>do siedmich dní odo dňa uzavretia zmluvy</w:t>
      </w:r>
      <w:r w:rsidRPr="009B7410">
        <w:rPr>
          <w:rFonts w:cs="Arial"/>
          <w:spacing w:val="-4"/>
        </w:rPr>
        <w:t xml:space="preserve">, </w:t>
      </w:r>
    </w:p>
    <w:p w14:paraId="0721DC4D" w14:textId="77777777" w:rsidR="009B7410" w:rsidRPr="009B7410" w:rsidRDefault="009B7410" w:rsidP="009B7410">
      <w:pPr>
        <w:widowControl w:val="0"/>
        <w:ind w:left="900"/>
        <w:jc w:val="both"/>
        <w:rPr>
          <w:rFonts w:cs="Arial"/>
          <w:spacing w:val="-4"/>
        </w:rPr>
      </w:pPr>
      <w:r w:rsidRPr="009B7410">
        <w:rPr>
          <w:rFonts w:cs="Arial"/>
          <w:spacing w:val="-4"/>
        </w:rPr>
        <w:t xml:space="preserve">a to tým spôsobom, že </w:t>
      </w:r>
    </w:p>
    <w:p w14:paraId="390D2939" w14:textId="77777777" w:rsidR="009B7410" w:rsidRPr="009B7410" w:rsidRDefault="009B7410" w:rsidP="009B7410">
      <w:pPr>
        <w:widowControl w:val="0"/>
        <w:numPr>
          <w:ilvl w:val="0"/>
          <w:numId w:val="12"/>
        </w:numPr>
        <w:ind w:left="1260"/>
        <w:jc w:val="both"/>
        <w:rPr>
          <w:rFonts w:cs="Arial"/>
          <w:spacing w:val="-4"/>
        </w:rPr>
      </w:pPr>
      <w:r w:rsidRPr="009B7410">
        <w:rPr>
          <w:rFonts w:cs="Arial"/>
        </w:rPr>
        <w:t xml:space="preserve">obstarávateľská organizácia </w:t>
      </w:r>
      <w:r w:rsidRPr="009B7410">
        <w:rPr>
          <w:rFonts w:cs="Arial"/>
          <w:spacing w:val="-4"/>
        </w:rPr>
        <w:t xml:space="preserve">vystaví banke prevodný príkaz na prevod finančných prostriedkov, ktoré slúžili ako zábezpeka, ak bola zábezpeka zložená v hotovosti. </w:t>
      </w:r>
    </w:p>
    <w:p w14:paraId="48F352D6"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neoznámi banke písomné nároky z bankovej záruky počas doby jej platnosti, ak uchádzač zložil zábezpeku formou bankovej záruky; resp. obstarávateľská organizácia vráti uchádzačovi originál bankovej záruky, ak zmluva bude uzavretá pred lehotou viazanosti ponúk.</w:t>
      </w:r>
    </w:p>
    <w:p w14:paraId="39BDC17F"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písomne neoznámi poisťovni nároky z poistenia záruky počas doby jej platnosti, ak uchádzač zložil zábezpeku formou poistenia záruky; resp. obstarávateľská organizácia vráti uchádzačovi originál poistenia záruky, ak zmluva bude uzavretá pred lehotou viazanosti ponúk.</w:t>
      </w:r>
    </w:p>
    <w:p w14:paraId="456CE442" w14:textId="7BAF9174" w:rsidR="00063A30" w:rsidRPr="00B962A0" w:rsidRDefault="009B7410" w:rsidP="00B962A0">
      <w:pPr>
        <w:numPr>
          <w:ilvl w:val="1"/>
          <w:numId w:val="1"/>
        </w:numPr>
        <w:ind w:left="720"/>
        <w:contextualSpacing/>
        <w:jc w:val="both"/>
        <w:rPr>
          <w:rFonts w:eastAsia="Calibri"/>
          <w:szCs w:val="22"/>
          <w:lang w:eastAsia="en-US"/>
        </w:rPr>
      </w:pPr>
      <w:r w:rsidRPr="009B7410">
        <w:rPr>
          <w:rFonts w:eastAsia="Calibri"/>
          <w:szCs w:val="22"/>
          <w:lang w:eastAsia="en-US"/>
        </w:rPr>
        <w:t>Zábezpeka prepadne v prospech obstarávateľskej organizácie, ak uchádzač v lehote viazanosti ponúk odstúpi od svojej ponuky alebo neposkytne súčinnosť alebo odmietne uzavrieť rámcovú dohodu podľa § 56 ods. 8 až 12 ZVO.</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60" w:name="_Toc369511215"/>
      <w:bookmarkStart w:id="61" w:name="_Toc459733183"/>
      <w:bookmarkStart w:id="62" w:name="_Toc141084544"/>
      <w:r w:rsidRPr="00C9668B">
        <w:t>Obsah ponuky</w:t>
      </w:r>
      <w:bookmarkEnd w:id="60"/>
      <w:bookmarkEnd w:id="61"/>
      <w:bookmarkEnd w:id="62"/>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4BA758D9" w14:textId="62C0B7AA" w:rsidR="003935BE" w:rsidRPr="00C9668B" w:rsidRDefault="003935BE"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 xml:space="preserve">Podmienky účasti osobného postavenia musí </w:t>
      </w:r>
      <w:r w:rsidR="00986033">
        <w:rPr>
          <w:rFonts w:cs="Arial"/>
          <w:szCs w:val="20"/>
        </w:rPr>
        <w:t xml:space="preserve">v súlade s bodom 35.2.b) tejto časti súťažných podkladov </w:t>
      </w:r>
      <w:r>
        <w:rPr>
          <w:rFonts w:cs="Arial"/>
          <w:szCs w:val="20"/>
        </w:rPr>
        <w:t>spĺňať aj každý subdodávateľ uchádzača</w:t>
      </w:r>
      <w:r w:rsidR="00986033">
        <w:rPr>
          <w:rFonts w:cs="Arial"/>
          <w:szCs w:val="20"/>
        </w:rPr>
        <w:t xml:space="preserve"> </w:t>
      </w:r>
      <w:r w:rsidR="00986033" w:rsidRPr="00270555">
        <w:t>a</w:t>
      </w:r>
      <w:r w:rsidR="00986033">
        <w:t> nesmú uňho existovať</w:t>
      </w:r>
      <w:r w:rsidR="00986033" w:rsidRPr="00270555">
        <w:t xml:space="preserve"> dôvody na vylúčenie </w:t>
      </w:r>
      <w:r w:rsidR="00986033" w:rsidRPr="00270555">
        <w:lastRenderedPageBreak/>
        <w:t xml:space="preserve">podľa § 40 ods. 6 písm. a) až </w:t>
      </w:r>
      <w:r w:rsidR="00986033">
        <w:t>g</w:t>
      </w:r>
      <w:r w:rsidR="00986033" w:rsidRPr="00270555">
        <w:t xml:space="preserve">) a ods. 7 </w:t>
      </w:r>
      <w:r w:rsidR="00986033">
        <w:t xml:space="preserve">a 8 </w:t>
      </w:r>
      <w:r w:rsidR="00986033" w:rsidRPr="00270555">
        <w:t>ZVO; oprávnenie dodávať tovar, uskutočňovať stavebné práce alebo poskytovať službu sa preukazuje vo vzťahu k tej časti predmetu zákazky, ktorú má subdodávateľ plniť</w:t>
      </w:r>
      <w:r>
        <w:rPr>
          <w:rFonts w:cs="Arial"/>
          <w:szCs w:val="20"/>
        </w:rPr>
        <w:t>.</w:t>
      </w:r>
    </w:p>
    <w:p w14:paraId="225B5CD4" w14:textId="2255C6FA"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9172AC">
        <w:rPr>
          <w:rFonts w:cs="Arial"/>
          <w:szCs w:val="20"/>
        </w:rPr>
        <w:t>5</w:t>
      </w:r>
      <w:r w:rsidR="00501341">
        <w:rPr>
          <w:rFonts w:cs="Arial"/>
          <w:szCs w:val="20"/>
        </w:rPr>
        <w:t>, 5a</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658917D2" w14:textId="473AA521" w:rsidR="008104D7" w:rsidRPr="008104D7" w:rsidRDefault="008104D7"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8104D7">
        <w:rPr>
          <w:b/>
        </w:rPr>
        <w:t>Návrh ponuky</w:t>
      </w:r>
      <w:r w:rsidRPr="008104D7">
        <w:t xml:space="preserve"> - Dokumenty preukazujúce splnenie požiadaviek na predmet zákazky uvedených v časti B.2 Opis predmetu zákazky (Príloha č. 2) týchto súťažných. Uchádzač splnenie požiadaviek na predmet zákazky zdokumentuje dostatočne podrobným a názorným spôsobom vrátane dôkazných prostriedkov tak, aby komisia mohla vyhodnotiť splnenie požiadaviek na predmet zákazky uchádzačom v celom rozsahu</w:t>
      </w:r>
      <w:r>
        <w:t>;</w:t>
      </w:r>
    </w:p>
    <w:p w14:paraId="49CE535B" w14:textId="46FFFC91"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Rámcovej dohody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6CF29176"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Pr="003F2B3C"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63" w:name="_Hlk177559267"/>
      <w:r w:rsidRPr="003F2B3C">
        <w:rPr>
          <w:rFonts w:cs="Arial"/>
          <w:b/>
          <w:bCs/>
          <w:szCs w:val="20"/>
        </w:rPr>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4" w:name="_Toc369511216"/>
      <w:bookmarkStart w:id="65" w:name="_Toc459733184"/>
      <w:bookmarkStart w:id="66" w:name="_Toc141084545"/>
      <w:bookmarkEnd w:id="63"/>
      <w:r w:rsidRPr="00C9668B">
        <w:t>Náklady na ponuku</w:t>
      </w:r>
      <w:bookmarkEnd w:id="64"/>
      <w:bookmarkEnd w:id="65"/>
      <w:bookmarkEnd w:id="66"/>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Default="007C4F82" w:rsidP="00FE4F84">
      <w:pPr>
        <w:widowControl w:val="0"/>
        <w:tabs>
          <w:tab w:val="right" w:leader="dot" w:pos="0"/>
        </w:tabs>
        <w:spacing w:before="200"/>
        <w:ind w:left="705" w:right="-29" w:hanging="705"/>
        <w:jc w:val="both"/>
      </w:pPr>
    </w:p>
    <w:p w14:paraId="2FC0213D" w14:textId="77777777" w:rsidR="00150EFD" w:rsidRDefault="00150EFD" w:rsidP="00FE4F84">
      <w:pPr>
        <w:widowControl w:val="0"/>
        <w:tabs>
          <w:tab w:val="right" w:leader="dot" w:pos="0"/>
        </w:tabs>
        <w:spacing w:before="200"/>
        <w:ind w:left="705" w:right="-29" w:hanging="705"/>
        <w:jc w:val="both"/>
      </w:pPr>
    </w:p>
    <w:p w14:paraId="4B21BF05" w14:textId="77777777" w:rsidR="00150EFD" w:rsidRPr="00C9668B" w:rsidRDefault="00150EFD" w:rsidP="00FE4F84">
      <w:pPr>
        <w:widowControl w:val="0"/>
        <w:tabs>
          <w:tab w:val="right" w:leader="dot" w:pos="0"/>
        </w:tabs>
        <w:spacing w:before="200"/>
        <w:ind w:left="705" w:right="-29" w:hanging="705"/>
        <w:jc w:val="both"/>
      </w:pPr>
    </w:p>
    <w:p w14:paraId="4A9713B7" w14:textId="03F65353" w:rsidR="00150EFD" w:rsidRDefault="00687657" w:rsidP="00150EFD">
      <w:pPr>
        <w:pStyle w:val="Nadpis2"/>
        <w:keepNext w:val="0"/>
        <w:widowControl w:val="0"/>
        <w:tabs>
          <w:tab w:val="clear" w:pos="540"/>
          <w:tab w:val="num" w:pos="0"/>
        </w:tabs>
      </w:pPr>
      <w:bookmarkStart w:id="67" w:name="_Toc369511217"/>
      <w:bookmarkStart w:id="68" w:name="_Toc459733185"/>
      <w:bookmarkStart w:id="69" w:name="_Toc141084546"/>
      <w:r w:rsidRPr="00C9668B">
        <w:t>IV</w:t>
      </w:r>
      <w:r w:rsidR="004E4A3D" w:rsidRPr="00C9668B">
        <w:t>. Predkladanie ponuk</w:t>
      </w:r>
      <w:bookmarkEnd w:id="67"/>
      <w:bookmarkEnd w:id="68"/>
      <w:bookmarkEnd w:id="69"/>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70" w:name="_Toc369511219"/>
      <w:bookmarkStart w:id="71" w:name="_Toc459733187"/>
      <w:bookmarkStart w:id="72" w:name="_Toc141084547"/>
      <w:r w:rsidRPr="00C9668B">
        <w:t>Predloženie ponuky</w:t>
      </w:r>
      <w:bookmarkEnd w:id="70"/>
      <w:bookmarkEnd w:id="71"/>
      <w:bookmarkEnd w:id="72"/>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73" w:name="_Toc369511220"/>
      <w:bookmarkStart w:id="74" w:name="_Toc459733188"/>
      <w:bookmarkStart w:id="75" w:name="_Toc141084548"/>
      <w:r>
        <w:t>L</w:t>
      </w:r>
      <w:r w:rsidR="004E4A3D" w:rsidRPr="00C9668B">
        <w:t>ehota na predkladanie ponúk</w:t>
      </w:r>
      <w:bookmarkEnd w:id="73"/>
      <w:bookmarkEnd w:id="74"/>
      <w:bookmarkEnd w:id="75"/>
    </w:p>
    <w:p w14:paraId="51A3986A" w14:textId="4834860F"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49482D">
        <w:t>do</w:t>
      </w:r>
      <w:r w:rsidRPr="0049482D">
        <w:rPr>
          <w:highlight w:val="yellow"/>
        </w:rPr>
        <w:t xml:space="preserve"> </w:t>
      </w:r>
      <w:r w:rsidR="0049482D" w:rsidRPr="0049482D">
        <w:rPr>
          <w:b/>
          <w:bCs/>
          <w:color w:val="FF0000"/>
          <w:highlight w:val="yellow"/>
        </w:rPr>
        <w:t>13.</w:t>
      </w:r>
      <w:r w:rsidR="005E7622">
        <w:rPr>
          <w:b/>
          <w:bCs/>
          <w:color w:val="FF0000"/>
          <w:highlight w:val="yellow"/>
        </w:rPr>
        <w:t>01</w:t>
      </w:r>
      <w:r w:rsidR="00F5563B" w:rsidRPr="0049482D">
        <w:rPr>
          <w:rFonts w:cs="Arial"/>
          <w:b/>
          <w:bCs/>
          <w:color w:val="FF0000"/>
          <w:szCs w:val="24"/>
          <w:highlight w:val="yellow"/>
        </w:rPr>
        <w:t>.202</w:t>
      </w:r>
      <w:r w:rsidR="005E7622">
        <w:rPr>
          <w:rFonts w:cs="Arial"/>
          <w:b/>
          <w:bCs/>
          <w:color w:val="FF0000"/>
          <w:szCs w:val="24"/>
          <w:highlight w:val="yellow"/>
        </w:rPr>
        <w:t>5</w:t>
      </w:r>
      <w:r w:rsidRPr="0049482D">
        <w:rPr>
          <w:b/>
          <w:color w:val="FF0000"/>
          <w:highlight w:val="yellow"/>
        </w:rPr>
        <w:t xml:space="preserve"> do </w:t>
      </w:r>
      <w:r w:rsidR="005B13C2" w:rsidRPr="0049482D">
        <w:rPr>
          <w:b/>
          <w:color w:val="FF0000"/>
          <w:highlight w:val="yellow"/>
        </w:rPr>
        <w:t>0</w:t>
      </w:r>
      <w:r w:rsidR="002B3E06" w:rsidRPr="0049482D">
        <w:rPr>
          <w:b/>
          <w:color w:val="FF0000"/>
          <w:highlight w:val="yellow"/>
        </w:rPr>
        <w:t>9</w:t>
      </w:r>
      <w:r w:rsidRPr="0049482D">
        <w:rPr>
          <w:b/>
          <w:color w:val="FF0000"/>
          <w:highlight w:val="yellow"/>
        </w:rPr>
        <w:t>:</w:t>
      </w:r>
      <w:r w:rsidR="000E6EA0" w:rsidRPr="0049482D">
        <w:rPr>
          <w:b/>
          <w:color w:val="FF0000"/>
          <w:highlight w:val="yellow"/>
        </w:rPr>
        <w:t>00</w:t>
      </w:r>
      <w:r w:rsidRPr="0049482D">
        <w:rPr>
          <w:b/>
          <w:color w:val="FF0000"/>
          <w:highlight w:val="yellow"/>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lastRenderedPageBreak/>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6" w:name="_Toc369511221"/>
      <w:bookmarkStart w:id="77" w:name="_Toc459733189"/>
      <w:bookmarkStart w:id="78" w:name="_Toc141084549"/>
      <w:r w:rsidRPr="00C9668B">
        <w:t>Doplnenie, zmena a odvolanie ponuky</w:t>
      </w:r>
      <w:bookmarkEnd w:id="76"/>
      <w:bookmarkEnd w:id="77"/>
      <w:bookmarkEnd w:id="78"/>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9" w:name="_Toc369511222"/>
      <w:bookmarkStart w:id="80" w:name="_Toc459733190"/>
      <w:bookmarkStart w:id="81" w:name="_Toc141084550"/>
      <w:r w:rsidRPr="00C9668B">
        <w:t>V</w:t>
      </w:r>
      <w:r w:rsidR="004E4A3D" w:rsidRPr="00C9668B">
        <w:t>. Otváranie a vyhodnotenie ponúk</w:t>
      </w:r>
      <w:bookmarkEnd w:id="79"/>
      <w:bookmarkEnd w:id="80"/>
      <w:bookmarkEnd w:id="81"/>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82" w:name="_Toc369511223"/>
      <w:bookmarkStart w:id="83" w:name="_Toc459733191"/>
      <w:bookmarkStart w:id="84" w:name="_Toc141084551"/>
      <w:r w:rsidRPr="00C9668B">
        <w:t>Otváranie ponúk</w:t>
      </w:r>
      <w:bookmarkEnd w:id="82"/>
      <w:bookmarkEnd w:id="83"/>
      <w:bookmarkEnd w:id="84"/>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6B4EC16D"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49482D" w:rsidRPr="0049482D">
        <w:rPr>
          <w:rFonts w:cs="Arial"/>
          <w:b/>
          <w:bCs/>
          <w:color w:val="FF0000"/>
          <w:szCs w:val="24"/>
          <w:highlight w:val="yellow"/>
        </w:rPr>
        <w:t>13.</w:t>
      </w:r>
      <w:r w:rsidR="005E7622">
        <w:rPr>
          <w:rFonts w:cs="Arial"/>
          <w:b/>
          <w:bCs/>
          <w:color w:val="FF0000"/>
          <w:szCs w:val="24"/>
          <w:highlight w:val="yellow"/>
        </w:rPr>
        <w:t>01</w:t>
      </w:r>
      <w:r w:rsidR="007153B8" w:rsidRPr="0049482D">
        <w:rPr>
          <w:rFonts w:cs="Arial"/>
          <w:b/>
          <w:bCs/>
          <w:color w:val="FF0000"/>
          <w:szCs w:val="24"/>
          <w:highlight w:val="yellow"/>
        </w:rPr>
        <w:t>.</w:t>
      </w:r>
      <w:r w:rsidR="00F5563B" w:rsidRPr="0049482D">
        <w:rPr>
          <w:rFonts w:cs="Arial"/>
          <w:b/>
          <w:bCs/>
          <w:color w:val="FF0000"/>
          <w:szCs w:val="24"/>
          <w:highlight w:val="yellow"/>
        </w:rPr>
        <w:t>2</w:t>
      </w:r>
      <w:r w:rsidR="00F5563B" w:rsidRPr="005E7622">
        <w:rPr>
          <w:rFonts w:cs="Arial"/>
          <w:b/>
          <w:bCs/>
          <w:color w:val="FF0000"/>
          <w:szCs w:val="24"/>
          <w:highlight w:val="yellow"/>
        </w:rPr>
        <w:t>02</w:t>
      </w:r>
      <w:r w:rsidR="005E7622" w:rsidRPr="005E7622">
        <w:rPr>
          <w:rFonts w:cs="Arial"/>
          <w:b/>
          <w:bCs/>
          <w:color w:val="FF0000"/>
          <w:szCs w:val="24"/>
          <w:highlight w:val="yellow"/>
        </w:rPr>
        <w:t>5</w:t>
      </w:r>
      <w:r w:rsidR="00F5563B" w:rsidRPr="009F396C">
        <w:rPr>
          <w:b/>
          <w:color w:val="FF0000"/>
        </w:rPr>
        <w:t xml:space="preserve"> </w:t>
      </w:r>
      <w:r w:rsidR="00DA2721" w:rsidRPr="0049482D">
        <w:rPr>
          <w:rFonts w:cs="Arial"/>
          <w:b/>
          <w:color w:val="FF0000"/>
          <w:szCs w:val="20"/>
          <w:highlight w:val="yellow"/>
        </w:rPr>
        <w:t>o </w:t>
      </w:r>
      <w:r w:rsidR="005B13C2" w:rsidRPr="0049482D">
        <w:rPr>
          <w:rFonts w:cs="Arial"/>
          <w:b/>
          <w:color w:val="FF0000"/>
          <w:szCs w:val="20"/>
          <w:highlight w:val="yellow"/>
        </w:rPr>
        <w:t>0</w:t>
      </w:r>
      <w:r w:rsidR="002B3E06" w:rsidRPr="0049482D">
        <w:rPr>
          <w:rFonts w:cs="Arial"/>
          <w:b/>
          <w:color w:val="FF0000"/>
          <w:szCs w:val="20"/>
          <w:highlight w:val="yellow"/>
        </w:rPr>
        <w:t>9</w:t>
      </w:r>
      <w:r w:rsidR="00DA2721" w:rsidRPr="0049482D">
        <w:rPr>
          <w:rFonts w:cs="Arial"/>
          <w:b/>
          <w:color w:val="FF0000"/>
          <w:szCs w:val="20"/>
          <w:highlight w:val="yellow"/>
        </w:rPr>
        <w:t>:</w:t>
      </w:r>
      <w:r w:rsidR="002B3E06" w:rsidRPr="0049482D">
        <w:rPr>
          <w:rFonts w:cs="Arial"/>
          <w:b/>
          <w:color w:val="FF0000"/>
          <w:szCs w:val="20"/>
          <w:highlight w:val="yellow"/>
        </w:rPr>
        <w:t>3</w:t>
      </w:r>
      <w:r w:rsidR="009D53A1" w:rsidRPr="0049482D">
        <w:rPr>
          <w:rFonts w:cs="Arial"/>
          <w:b/>
          <w:color w:val="FF0000"/>
          <w:szCs w:val="20"/>
          <w:highlight w:val="yellow"/>
        </w:rPr>
        <w:t>0</w:t>
      </w:r>
      <w:r w:rsidR="002B30F0" w:rsidRPr="0049482D">
        <w:rPr>
          <w:rFonts w:cs="Arial"/>
          <w:b/>
          <w:color w:val="FF0000"/>
          <w:szCs w:val="20"/>
          <w:highlight w:val="yellow"/>
        </w:rPr>
        <w:t xml:space="preserve"> </w:t>
      </w:r>
      <w:r w:rsidR="00DA2721" w:rsidRPr="0049482D">
        <w:rPr>
          <w:rFonts w:cs="Arial"/>
          <w:b/>
          <w:color w:val="FF0000"/>
          <w:szCs w:val="20"/>
          <w:highlight w:val="yellow"/>
        </w:rPr>
        <w:t>hod</w:t>
      </w:r>
      <w:r w:rsidR="00DA2721" w:rsidRPr="0049482D">
        <w:rPr>
          <w:rFonts w:cs="Arial"/>
          <w:color w:val="FF0000"/>
          <w:szCs w:val="20"/>
          <w:highlight w:val="yellow"/>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5" w:name="_Toc369511224"/>
      <w:bookmarkStart w:id="86" w:name="_Toc459733192"/>
      <w:bookmarkStart w:id="87"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5"/>
      <w:bookmarkEnd w:id="86"/>
      <w:bookmarkEnd w:id="87"/>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lastRenderedPageBreak/>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8" w:name="_Toc141084553"/>
      <w:r w:rsidRPr="00C9668B">
        <w:t>Vysvetľovanie ponúk</w:t>
      </w:r>
      <w:bookmarkEnd w:id="88"/>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9" w:name="_Toc369511226"/>
      <w:bookmarkStart w:id="90"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91" w:name="_Toc141084554"/>
      <w:r w:rsidRPr="00C9668B">
        <w:t>Mena na vyhodnotenie ponúk</w:t>
      </w:r>
      <w:bookmarkEnd w:id="89"/>
      <w:bookmarkEnd w:id="90"/>
      <w:bookmarkEnd w:id="91"/>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92" w:name="_Toc459733195"/>
      <w:bookmarkStart w:id="93" w:name="_Toc369511228"/>
      <w:bookmarkStart w:id="94" w:name="_Toc141084555"/>
      <w:bookmarkStart w:id="95" w:name="_Toc369511227"/>
      <w:bookmarkStart w:id="96" w:name="_Toc459733194"/>
      <w:r w:rsidRPr="00C9668B">
        <w:t>Vyhodnotenie ponúk</w:t>
      </w:r>
      <w:bookmarkEnd w:id="92"/>
      <w:r w:rsidRPr="00C9668B">
        <w:t xml:space="preserve"> </w:t>
      </w:r>
      <w:bookmarkEnd w:id="93"/>
      <w:r w:rsidRPr="00C9668B">
        <w:t>z hľadiska požiadaviek na predmet zákazky</w:t>
      </w:r>
      <w:bookmarkEnd w:id="94"/>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7" w:name="_Toc141084556"/>
      <w:r w:rsidRPr="00FF73E8">
        <w:t>Vyhodnotenie splnenia podmienok účasti uchádzačov</w:t>
      </w:r>
      <w:bookmarkEnd w:id="95"/>
      <w:bookmarkEnd w:id="96"/>
      <w:bookmarkEnd w:id="97"/>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lastRenderedPageBreak/>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8" w:name="_Toc141084557"/>
      <w:r w:rsidRPr="00C9668B">
        <w:t>Vyhodnotenie úspešnost</w:t>
      </w:r>
      <w:r w:rsidR="0098184F" w:rsidRPr="00C9668B">
        <w:t>i</w:t>
      </w:r>
      <w:r w:rsidRPr="00C9668B">
        <w:t xml:space="preserve"> ponúk</w:t>
      </w:r>
      <w:bookmarkEnd w:id="98"/>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w:t>
      </w:r>
      <w:r w:rsidRPr="00270555">
        <w:lastRenderedPageBreak/>
        <w:t xml:space="preserve">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9" w:name="_Toc369511229"/>
      <w:bookmarkStart w:id="100" w:name="_Toc459733196"/>
      <w:bookmarkStart w:id="101" w:name="_Toc141084558"/>
      <w:r w:rsidRPr="00C9668B">
        <w:t>VI</w:t>
      </w:r>
      <w:r w:rsidR="004E4A3D" w:rsidRPr="00C9668B">
        <w:t>. Dôvernosť a etika vo verejnom obstarávaní</w:t>
      </w:r>
      <w:bookmarkEnd w:id="99"/>
      <w:bookmarkEnd w:id="100"/>
      <w:bookmarkEnd w:id="101"/>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102" w:name="_Toc369511230"/>
      <w:bookmarkStart w:id="103" w:name="_Toc459733197"/>
      <w:bookmarkStart w:id="104" w:name="_Toc141084559"/>
      <w:r w:rsidRPr="00C9668B">
        <w:t>Dôvernosť procesu verejného obstarávania</w:t>
      </w:r>
      <w:bookmarkEnd w:id="102"/>
      <w:bookmarkEnd w:id="103"/>
      <w:r w:rsidR="005A62F4">
        <w:t xml:space="preserve"> a ochrana osobných údajov</w:t>
      </w:r>
      <w:bookmarkEnd w:id="104"/>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5"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6" w:name="_Toc369511231"/>
      <w:bookmarkStart w:id="107" w:name="_Toc459733198"/>
      <w:bookmarkStart w:id="108" w:name="_Toc141084560"/>
      <w:bookmarkEnd w:id="105"/>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6"/>
      <w:bookmarkEnd w:id="107"/>
      <w:bookmarkEnd w:id="108"/>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9" w:name="_Toc369511232"/>
      <w:bookmarkStart w:id="110" w:name="_Toc459733199"/>
      <w:bookmarkStart w:id="111" w:name="_Toc141084561"/>
      <w:r w:rsidRPr="00C9668B">
        <w:t>Informácia o výsledku vyhodnotenia ponúk</w:t>
      </w:r>
      <w:bookmarkEnd w:id="109"/>
      <w:bookmarkEnd w:id="110"/>
      <w:bookmarkEnd w:id="111"/>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21"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2"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w:t>
      </w:r>
      <w:r w:rsidRPr="009324B7">
        <w:lastRenderedPageBreak/>
        <w:t xml:space="preserve">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4D1611">
          <w:t>§ 33 ods. 2</w:t>
        </w:r>
      </w:hyperlink>
      <w:r w:rsidRPr="004D1611">
        <w:rPr>
          <w:rFonts w:cs="Open Sans"/>
        </w:rPr>
        <w:t>  ZVO a osoby poskytujúcej technické a odborné kapacity podľa </w:t>
      </w:r>
      <w:hyperlink r:id="rId24"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12" w:name="_Toc369511233"/>
      <w:bookmarkStart w:id="113" w:name="_Toc459733200"/>
      <w:bookmarkStart w:id="114" w:name="_Toc141084562"/>
      <w:r w:rsidRPr="00C9668B">
        <w:t xml:space="preserve">Uzavretie </w:t>
      </w:r>
      <w:bookmarkEnd w:id="112"/>
      <w:bookmarkEnd w:id="113"/>
      <w:r w:rsidR="00B12467" w:rsidRPr="00C9668B">
        <w:t>Zmluvy</w:t>
      </w:r>
      <w:bookmarkEnd w:id="114"/>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nie je možné ho nijako meniť, to neplatí pre úpravy chýb v</w:t>
      </w:r>
      <w:r>
        <w:t> </w:t>
      </w:r>
      <w:r w:rsidRPr="00270555">
        <w:t>písaní (pravopisné chyby, preklepy, medzery v</w:t>
      </w:r>
      <w:r>
        <w:t> </w:t>
      </w:r>
      <w:r w:rsidRPr="00270555">
        <w:t>texte a</w:t>
      </w:r>
      <w:r>
        <w:t> </w:t>
      </w:r>
      <w:r w:rsidRPr="00270555">
        <w:t>pod.), ktoré nemenia význam konkrétnych ustanovení</w:t>
      </w:r>
      <w:r>
        <w:t>, resp. tie časti, ktoré sú ako také výslovne označené obstarávateľskou organizáciou</w:t>
      </w:r>
      <w:r w:rsidRPr="00270555">
        <w:t xml:space="preserve">. Vyzvaný uchádzač doplní do </w:t>
      </w:r>
      <w:r>
        <w:t>Z</w:t>
      </w:r>
      <w:r w:rsidRPr="00270555">
        <w:t>mluvy svoje identifikačné údaje, ponúknuté ceny, ktoré 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w:t>
      </w:r>
      <w:r w:rsidRPr="00270555">
        <w:lastRenderedPageBreak/>
        <w:t>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5" w:name="_Toc495055208"/>
      <w:r w:rsidRPr="002D62C3">
        <w:rPr>
          <w:color w:val="212121"/>
          <w:shd w:val="clear" w:color="auto" w:fill="FFFFFF"/>
        </w:rPr>
        <w:t xml:space="preserve">Obstarávateľská organizácia </w:t>
      </w:r>
      <w:r w:rsidRPr="002D62C3">
        <w:t>neuzatvorí Zmluvu s uchádzačom alebo uchádzačmi,</w:t>
      </w:r>
      <w:bookmarkEnd w:id="115"/>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6" w:name="_Toc495055209"/>
      <w:r w:rsidRPr="002D62C3">
        <w:t>ktorí podľa § 11 ods. 1 ZVO majú povinnosť zapisovať sa do registra partnerov verejného sektora a nie sú zapísaní v registri partnerov verejného sektora alebo</w:t>
      </w:r>
      <w:bookmarkEnd w:id="116"/>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7"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7"/>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8" w:name="_Toc369511237"/>
      <w:bookmarkStart w:id="119" w:name="_Toc459733202"/>
      <w:bookmarkStart w:id="120" w:name="_Toc141084563"/>
      <w:r w:rsidRPr="00C9668B">
        <w:t>Zruš</w:t>
      </w:r>
      <w:r w:rsidR="005D67F3">
        <w:t>e</w:t>
      </w:r>
      <w:r w:rsidRPr="00C9668B">
        <w:t>nie použitého postupu zadávania zákazky</w:t>
      </w:r>
      <w:bookmarkEnd w:id="118"/>
      <w:bookmarkEnd w:id="119"/>
      <w:bookmarkEnd w:id="120"/>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Obstarávateľská organizácia môže zrušiť verejné obstarávanie aj vtedy, ak sa zmenili okolnosti, za ktorých sa vyhlásilo verejné obstarávanie, ak sa v</w:t>
      </w:r>
      <w:r>
        <w:t> </w:t>
      </w:r>
      <w:r w:rsidRPr="002D62C3">
        <w:t>priebehu postupu verejného obstarávania vyskytli 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w:t>
      </w:r>
      <w:r w:rsidRPr="002D62C3">
        <w:lastRenderedPageBreak/>
        <w:t xml:space="preserve">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1" w:name="_Toc459733203"/>
      <w:bookmarkStart w:id="122" w:name="_Toc141084564"/>
      <w:r w:rsidRPr="00C9668B">
        <w:t>Subdodávatelia</w:t>
      </w:r>
      <w:bookmarkEnd w:id="121"/>
      <w:bookmarkEnd w:id="122"/>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3" w:name="_Toc103802206"/>
      <w:bookmarkStart w:id="124" w:name="_Toc141084565"/>
      <w:r>
        <w:t>Osobitné ustanovenie k uchádzačom z tretích krajín</w:t>
      </w:r>
      <w:bookmarkEnd w:id="123"/>
      <w:bookmarkEnd w:id="124"/>
    </w:p>
    <w:p w14:paraId="1362A797" w14:textId="3A676C9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w:t>
      </w:r>
      <w:r w:rsidRPr="009324B7">
        <w:lastRenderedPageBreak/>
        <w:t>republiky a je sprístupnený na webovom sídle úradu.</w:t>
      </w: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5" w:name="_Toc473530341"/>
      <w:bookmarkStart w:id="126"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5"/>
      <w:bookmarkEnd w:id="126"/>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7" w:name="_Toc525822263"/>
      <w:bookmarkStart w:id="128" w:name="_Toc141084567"/>
      <w:r w:rsidRPr="00C9668B">
        <w:rPr>
          <w:color w:val="0000FF"/>
        </w:rPr>
        <w:lastRenderedPageBreak/>
        <w:t xml:space="preserve">B.1  </w:t>
      </w:r>
      <w:r w:rsidRPr="00C9668B">
        <w:rPr>
          <w:smallCaps/>
          <w:color w:val="0000FF"/>
        </w:rPr>
        <w:t xml:space="preserve">Obchodné podmienky dodania predmetu </w:t>
      </w:r>
      <w:bookmarkEnd w:id="127"/>
      <w:r w:rsidR="00770010" w:rsidRPr="00C9668B">
        <w:rPr>
          <w:smallCaps/>
          <w:color w:val="0000FF"/>
        </w:rPr>
        <w:t>zákazky</w:t>
      </w:r>
      <w:bookmarkEnd w:id="128"/>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45DFD9B4" w:rsidR="003A5847" w:rsidRPr="00C9668B" w:rsidRDefault="00440EDD" w:rsidP="00593BDA">
      <w:pPr>
        <w:widowControl w:val="0"/>
        <w:jc w:val="both"/>
      </w:pPr>
      <w:r>
        <w:t>Uchádzač</w:t>
      </w:r>
      <w:r w:rsidR="003A5847" w:rsidRPr="00C9668B">
        <w:t xml:space="preserve"> je povinný k svojej ponuke predložiť návrh </w:t>
      </w:r>
      <w:r w:rsidR="00B019E0">
        <w:t>Zmluvy o poskytovaní služby</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9" w:name="_Toc141084568"/>
      <w:r w:rsidRPr="00C9668B">
        <w:rPr>
          <w:color w:val="0000FF"/>
        </w:rPr>
        <w:lastRenderedPageBreak/>
        <w:t xml:space="preserve">B.2  </w:t>
      </w:r>
      <w:r w:rsidRPr="00C9668B">
        <w:rPr>
          <w:smallCaps/>
          <w:color w:val="0000FF"/>
        </w:rPr>
        <w:t>Opis predmetu zákazky</w:t>
      </w:r>
      <w:bookmarkEnd w:id="129"/>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6337918C"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30"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30"/>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1" w:name="_Toc141084570"/>
      <w:r w:rsidRPr="00C9668B">
        <w:lastRenderedPageBreak/>
        <w:t>Zoznam príloh</w:t>
      </w:r>
      <w:r w:rsidR="00ED2B72" w:rsidRPr="00C9668B">
        <w:t xml:space="preserve"> SP</w:t>
      </w:r>
      <w:bookmarkEnd w:id="131"/>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2C4CF3C9"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EB07CB">
        <w:rPr>
          <w:rFonts w:cs="Arial"/>
          <w:szCs w:val="20"/>
        </w:rPr>
        <w:t>Z</w:t>
      </w:r>
      <w:r w:rsidR="00986033" w:rsidRPr="00986033">
        <w:rPr>
          <w:rFonts w:cs="Arial"/>
          <w:szCs w:val="20"/>
        </w:rPr>
        <w:t>mluva o</w:t>
      </w:r>
      <w:r w:rsidR="00EB07CB">
        <w:rPr>
          <w:rFonts w:cs="Arial"/>
          <w:szCs w:val="20"/>
        </w:rPr>
        <w:t> poskytovaní služby</w:t>
      </w:r>
    </w:p>
    <w:p w14:paraId="7395C12F" w14:textId="77777777" w:rsidR="00622BCC"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2"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3"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4" w:name="_Hlk115169128"/>
      <w:bookmarkEnd w:id="133"/>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32"/>
    <w:bookmarkEnd w:id="134"/>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5"/>
      <w:footerReference w:type="default" r:id="rId26"/>
      <w:headerReference w:type="first" r:id="rId27"/>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4B94" w14:textId="77777777" w:rsidR="00AF364A" w:rsidRDefault="00AF364A">
      <w:r>
        <w:separator/>
      </w:r>
    </w:p>
  </w:endnote>
  <w:endnote w:type="continuationSeparator" w:id="0">
    <w:p w14:paraId="5150B51F" w14:textId="77777777" w:rsidR="00AF364A" w:rsidRDefault="00A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BBF7" w14:textId="12241F89" w:rsidR="005E7EBE" w:rsidRDefault="005E7EBE">
    <w:pPr>
      <w:pStyle w:val="Pta"/>
      <w:jc w:val="right"/>
    </w:pPr>
    <w:r>
      <w:fldChar w:fldCharType="begin"/>
    </w:r>
    <w:r>
      <w:instrText xml:space="preserve"> PAGE   \* MERGEFORMAT </w:instrText>
    </w:r>
    <w:r>
      <w:fldChar w:fldCharType="separate"/>
    </w:r>
    <w:r>
      <w:t>28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C1BA" w14:textId="77777777" w:rsidR="00AF364A" w:rsidRDefault="00AF364A">
      <w:r>
        <w:separator/>
      </w:r>
    </w:p>
  </w:footnote>
  <w:footnote w:type="continuationSeparator" w:id="0">
    <w:p w14:paraId="38BA364C" w14:textId="77777777" w:rsidR="00AF364A" w:rsidRDefault="00AF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3E06"/>
    <w:rsid w:val="002B47E9"/>
    <w:rsid w:val="002B481D"/>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3BF5"/>
    <w:rsid w:val="002E4255"/>
    <w:rsid w:val="002E6407"/>
    <w:rsid w:val="002E6E35"/>
    <w:rsid w:val="002E7301"/>
    <w:rsid w:val="002E75D6"/>
    <w:rsid w:val="002F10CD"/>
    <w:rsid w:val="002F1448"/>
    <w:rsid w:val="002F271A"/>
    <w:rsid w:val="002F29A7"/>
    <w:rsid w:val="002F2AE7"/>
    <w:rsid w:val="002F2F1F"/>
    <w:rsid w:val="002F3CE9"/>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76C"/>
    <w:rsid w:val="00491E82"/>
    <w:rsid w:val="00492721"/>
    <w:rsid w:val="0049316E"/>
    <w:rsid w:val="0049325D"/>
    <w:rsid w:val="00493DCF"/>
    <w:rsid w:val="00493F87"/>
    <w:rsid w:val="0049482D"/>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3D61"/>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576"/>
    <w:rsid w:val="0059169F"/>
    <w:rsid w:val="00591BD7"/>
    <w:rsid w:val="005924D3"/>
    <w:rsid w:val="00593BDA"/>
    <w:rsid w:val="005947C1"/>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31F"/>
    <w:rsid w:val="005C3FC9"/>
    <w:rsid w:val="005C4573"/>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622"/>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5AC3"/>
    <w:rsid w:val="007264F2"/>
    <w:rsid w:val="0072715D"/>
    <w:rsid w:val="0073014C"/>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5AD"/>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3A49"/>
    <w:rsid w:val="007C4947"/>
    <w:rsid w:val="007C4CD6"/>
    <w:rsid w:val="007C4F82"/>
    <w:rsid w:val="007C6F33"/>
    <w:rsid w:val="007C799B"/>
    <w:rsid w:val="007D3856"/>
    <w:rsid w:val="007D3A43"/>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E0302"/>
    <w:rsid w:val="008E1069"/>
    <w:rsid w:val="008E1555"/>
    <w:rsid w:val="008E2BB8"/>
    <w:rsid w:val="008E31C1"/>
    <w:rsid w:val="008E3D6E"/>
    <w:rsid w:val="008E4017"/>
    <w:rsid w:val="008E4D5F"/>
    <w:rsid w:val="008E51AE"/>
    <w:rsid w:val="008E59CB"/>
    <w:rsid w:val="008E5C36"/>
    <w:rsid w:val="008E5D5A"/>
    <w:rsid w:val="008E6196"/>
    <w:rsid w:val="008E69AB"/>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188"/>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17B57"/>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2B3"/>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4C69"/>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300"/>
    <w:rsid w:val="00CB1597"/>
    <w:rsid w:val="00CB1DE9"/>
    <w:rsid w:val="00CB239C"/>
    <w:rsid w:val="00CB390A"/>
    <w:rsid w:val="00CB3C5E"/>
    <w:rsid w:val="00CB3F10"/>
    <w:rsid w:val="00CB4DF2"/>
    <w:rsid w:val="00CB5666"/>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677"/>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129"/>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54C"/>
    <w:rsid w:val="00F659F6"/>
    <w:rsid w:val="00F66BC1"/>
    <w:rsid w:val="00F66EEE"/>
    <w:rsid w:val="00F66F5F"/>
    <w:rsid w:val="00F677C2"/>
    <w:rsid w:val="00F706FE"/>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20401.html"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yperlink" Target="https://www.slov-lex.sk/pravne-predpisy/SK/ZZ/2015/343/20220401.html" TargetMode="External"/><Relationship Id="rId28" Type="http://schemas.openxmlformats.org/officeDocument/2006/relationships/fontTable" Target="fontTable.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9078</Words>
  <Characters>61899</Characters>
  <Application>Microsoft Office Word</Application>
  <DocSecurity>0</DocSecurity>
  <Lines>515</Lines>
  <Paragraphs>141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2</cp:revision>
  <cp:lastPrinted>2024-08-05T11:40:00Z</cp:lastPrinted>
  <dcterms:created xsi:type="dcterms:W3CDTF">2024-12-12T17:22:00Z</dcterms:created>
  <dcterms:modified xsi:type="dcterms:W3CDTF">2024-12-12T17:22:00Z</dcterms:modified>
</cp:coreProperties>
</file>