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17689">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6BFA90CD" w14:textId="4F1691E2" w:rsidR="00537C6A" w:rsidRDefault="00537C6A" w:rsidP="00537C6A">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537C6A">
        <w:rPr>
          <w:rFonts w:asciiTheme="minorHAnsi" w:hAnsiTheme="minorHAnsi" w:cstheme="minorHAnsi"/>
          <w:sz w:val="22"/>
          <w:szCs w:val="22"/>
        </w:rPr>
        <w:t>Zbožím dodávaným na základě této smlouvy jsou</w:t>
      </w:r>
      <w:r w:rsidR="00404550">
        <w:rPr>
          <w:rFonts w:cs="Arial"/>
          <w:b/>
          <w:bCs/>
        </w:rPr>
        <w:t xml:space="preserve"> </w:t>
      </w:r>
      <w:r w:rsidR="00017689" w:rsidRPr="00017689">
        <w:rPr>
          <w:rFonts w:ascii="Calibri" w:hAnsi="Calibri" w:cs="Calibri"/>
          <w:b/>
          <w:bCs/>
          <w:sz w:val="22"/>
          <w:szCs w:val="22"/>
        </w:rPr>
        <w:t>mechanick</w:t>
      </w:r>
      <w:r w:rsidR="00017689">
        <w:rPr>
          <w:rFonts w:ascii="Calibri" w:hAnsi="Calibri" w:cs="Calibri"/>
          <w:b/>
          <w:bCs/>
          <w:sz w:val="22"/>
          <w:szCs w:val="22"/>
        </w:rPr>
        <w:t>é</w:t>
      </w:r>
      <w:r w:rsidR="00017689" w:rsidRPr="00017689">
        <w:rPr>
          <w:rFonts w:ascii="Calibri" w:hAnsi="Calibri" w:cs="Calibri"/>
          <w:b/>
          <w:bCs/>
          <w:sz w:val="22"/>
          <w:szCs w:val="22"/>
        </w:rPr>
        <w:t xml:space="preserve"> plošin</w:t>
      </w:r>
      <w:r w:rsidR="00017689">
        <w:rPr>
          <w:rFonts w:ascii="Calibri" w:hAnsi="Calibri" w:cs="Calibri"/>
          <w:b/>
          <w:bCs/>
          <w:sz w:val="22"/>
          <w:szCs w:val="22"/>
        </w:rPr>
        <w:t>y</w:t>
      </w:r>
      <w:r w:rsidR="00017689" w:rsidRPr="00017689">
        <w:rPr>
          <w:rFonts w:ascii="Calibri" w:hAnsi="Calibri" w:cs="Calibri"/>
          <w:b/>
          <w:bCs/>
          <w:sz w:val="22"/>
          <w:szCs w:val="22"/>
        </w:rPr>
        <w:t xml:space="preserve"> MA PS 15 na GO vozidel KT8, Vario LF, Vario LF2</w:t>
      </w:r>
      <w:r w:rsidRPr="00537C6A">
        <w:rPr>
          <w:rFonts w:asciiTheme="minorHAnsi" w:hAnsiTheme="minorHAnsi" w:cstheme="minorHAnsi"/>
          <w:sz w:val="22"/>
          <w:szCs w:val="22"/>
        </w:rPr>
        <w:t xml:space="preserve">. Specifikace a ceny zboží jsou uvedeny </w:t>
      </w:r>
      <w:r w:rsidRPr="00EA0783">
        <w:rPr>
          <w:rFonts w:asciiTheme="minorHAnsi" w:hAnsiTheme="minorHAnsi" w:cstheme="minorHAnsi"/>
          <w:sz w:val="22"/>
          <w:szCs w:val="22"/>
        </w:rPr>
        <w:t>v příloze č. 1- Technická specifikace a ceník.</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Hudcova 74, Brno - Medlánky</w:t>
      </w:r>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1B78C0E6"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Prodávající je povinen odevzdat smluvené zboží nejpozději v termínu do</w:t>
      </w:r>
      <w:r w:rsidR="00180875">
        <w:rPr>
          <w:rFonts w:asciiTheme="minorHAnsi" w:hAnsiTheme="minorHAnsi" w:cstheme="minorHAnsi"/>
          <w:sz w:val="22"/>
          <w:szCs w:val="22"/>
        </w:rPr>
        <w:t xml:space="preserve"> </w:t>
      </w:r>
      <w:r w:rsidR="00017689">
        <w:rPr>
          <w:rFonts w:asciiTheme="minorHAnsi" w:hAnsiTheme="minorHAnsi" w:cstheme="minorHAnsi"/>
          <w:sz w:val="22"/>
          <w:szCs w:val="22"/>
        </w:rPr>
        <w:t>4</w:t>
      </w:r>
      <w:r w:rsidRPr="005C4B09">
        <w:rPr>
          <w:rFonts w:asciiTheme="minorHAnsi" w:hAnsiTheme="minorHAnsi" w:cstheme="minorHAnsi"/>
          <w:sz w:val="22"/>
          <w:szCs w:val="22"/>
        </w:rPr>
        <w:t xml:space="preserve"> </w:t>
      </w:r>
      <w:r w:rsidR="00537C6A">
        <w:rPr>
          <w:rFonts w:asciiTheme="minorHAnsi" w:hAnsiTheme="minorHAnsi" w:cstheme="minorHAnsi"/>
          <w:sz w:val="22"/>
          <w:szCs w:val="22"/>
        </w:rPr>
        <w:t>tý</w:t>
      </w:r>
      <w:r w:rsidRPr="005C4B09">
        <w:rPr>
          <w:rFonts w:asciiTheme="minorHAnsi" w:hAnsiTheme="minorHAnsi" w:cstheme="minorHAnsi"/>
          <w:sz w:val="22"/>
          <w:szCs w:val="22"/>
        </w:rPr>
        <w:t>dn</w:t>
      </w:r>
      <w:r w:rsidR="00404550">
        <w:rPr>
          <w:rFonts w:asciiTheme="minorHAnsi" w:hAnsiTheme="minorHAnsi" w:cstheme="minorHAnsi"/>
          <w:sz w:val="22"/>
          <w:szCs w:val="22"/>
        </w:rPr>
        <w:t>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41F72679" w14:textId="77777777" w:rsidR="00537C6A" w:rsidRDefault="00537C6A"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61928F70" w14:textId="65267F09" w:rsidR="000466F6" w:rsidRPr="00C5652E"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 xml:space="preserve">Tato smlouva se uzavírá na dobu určitou, a to </w:t>
      </w:r>
      <w:r w:rsidR="00246ACB">
        <w:rPr>
          <w:rFonts w:asciiTheme="minorHAnsi" w:hAnsiTheme="minorHAnsi" w:cstheme="minorHAnsi"/>
          <w:sz w:val="22"/>
          <w:szCs w:val="22"/>
        </w:rPr>
        <w:t>do 31.12.2026</w:t>
      </w:r>
      <w:r w:rsidRPr="00671C49">
        <w:rPr>
          <w:rFonts w:asciiTheme="minorHAnsi" w:hAnsiTheme="minorHAnsi" w:cstheme="minorHAnsi"/>
          <w:sz w:val="22"/>
          <w:szCs w:val="22"/>
        </w:rPr>
        <w:t>, nejpozději však do okamžiku vyčerpání finančního limitu uvedeného v čl. III odst. 3 této smlouvy.</w:t>
      </w:r>
    </w:p>
    <w:p w14:paraId="4E9599DF" w14:textId="77777777" w:rsidR="000466F6" w:rsidRPr="00671C49"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5C3CE636" w14:textId="77777777" w:rsidR="000466F6" w:rsidRPr="00FE6037" w:rsidRDefault="000466F6" w:rsidP="000466F6">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Pr>
          <w:rFonts w:asciiTheme="minorHAnsi" w:hAnsiTheme="minorHAnsi" w:cstheme="minorHAnsi"/>
          <w:sz w:val="22"/>
          <w:szCs w:val="22"/>
        </w:rPr>
        <w:t>.</w:t>
      </w:r>
    </w:p>
    <w:p w14:paraId="27589C88" w14:textId="77777777" w:rsidR="000466F6" w:rsidRPr="009F167F"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0D79CB00"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146D7E51" w14:textId="77777777" w:rsidR="000466F6" w:rsidRPr="00231A18"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4793AF8F" w14:textId="77777777" w:rsidR="000466F6" w:rsidRPr="008624BD"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7C2DB64"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9674805"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A42C699"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EC9D32C"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w:t>
      </w:r>
      <w:r w:rsidRPr="00F5276B">
        <w:rPr>
          <w:rFonts w:asciiTheme="minorHAnsi" w:hAnsiTheme="minorHAnsi" w:cstheme="minorHAnsi"/>
          <w:sz w:val="22"/>
          <w:szCs w:val="22"/>
        </w:rPr>
        <w:lastRenderedPageBreak/>
        <w:t xml:space="preserve">kupující jsou dále povinni okamžitě si vzájemně sdělit jakékoliv podezření z nedostatečného zajištění osobních údajů nebo podezření z neoprávněného využití osobních údajů neoprávněnou osobou. </w:t>
      </w:r>
    </w:p>
    <w:p w14:paraId="3FB6EE90"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67EAF143"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B368735"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8EF6465" w14:textId="5F8D4BF9" w:rsidR="00823600" w:rsidRDefault="00823600" w:rsidP="00B71D03">
      <w:pPr>
        <w:spacing w:after="60"/>
        <w:ind w:left="425"/>
        <w:jc w:val="both"/>
        <w:rPr>
          <w:rFonts w:asciiTheme="minorHAnsi" w:hAnsiTheme="minorHAnsi"/>
          <w:iCs/>
          <w:sz w:val="22"/>
          <w:szCs w:val="22"/>
        </w:rPr>
      </w:pPr>
      <w:r>
        <w:rPr>
          <w:rFonts w:asciiTheme="minorHAnsi" w:hAnsiTheme="minorHAnsi" w:cstheme="minorHAnsi"/>
          <w:sz w:val="22"/>
          <w:szCs w:val="22"/>
        </w:rPr>
        <w:t>Příloha</w:t>
      </w:r>
      <w:r w:rsidRPr="00231A18">
        <w:rPr>
          <w:rFonts w:asciiTheme="minorHAnsi" w:hAnsiTheme="minorHAnsi" w:cstheme="minorHAnsi"/>
          <w:sz w:val="22"/>
          <w:szCs w:val="22"/>
        </w:rPr>
        <w:t xml:space="preserve"> č. 3 - Ujištění o posouzení shody, legálním uvedení výrobků na trh</w:t>
      </w:r>
    </w:p>
    <w:p w14:paraId="23FA0261" w14:textId="419689EE" w:rsidR="00424AAE" w:rsidRPr="00096C5C" w:rsidRDefault="00424AAE" w:rsidP="00B71D03">
      <w:pPr>
        <w:spacing w:after="60"/>
        <w:ind w:left="425"/>
        <w:jc w:val="both"/>
        <w:rPr>
          <w:rFonts w:asciiTheme="minorHAnsi" w:hAnsiTheme="minorHAnsi"/>
          <w:sz w:val="22"/>
          <w:szCs w:val="22"/>
        </w:rPr>
      </w:pP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5FFE" w14:textId="77777777" w:rsidR="00F4427D" w:rsidRDefault="00F4427D">
      <w:r>
        <w:separator/>
      </w:r>
    </w:p>
  </w:endnote>
  <w:endnote w:type="continuationSeparator" w:id="0">
    <w:p w14:paraId="7A4CBC26" w14:textId="77777777" w:rsidR="00F4427D" w:rsidRDefault="00F4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34D6A" w14:textId="77777777" w:rsidR="00F4427D" w:rsidRDefault="00F4427D">
      <w:r>
        <w:separator/>
      </w:r>
    </w:p>
  </w:footnote>
  <w:footnote w:type="continuationSeparator" w:id="0">
    <w:p w14:paraId="0D1103CB" w14:textId="77777777" w:rsidR="00F4427D" w:rsidRDefault="00F4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689"/>
    <w:rsid w:val="00017D80"/>
    <w:rsid w:val="0002253E"/>
    <w:rsid w:val="000275B3"/>
    <w:rsid w:val="000318D2"/>
    <w:rsid w:val="0003390C"/>
    <w:rsid w:val="000401D8"/>
    <w:rsid w:val="00042DA1"/>
    <w:rsid w:val="00043411"/>
    <w:rsid w:val="000466F6"/>
    <w:rsid w:val="000624E8"/>
    <w:rsid w:val="00064426"/>
    <w:rsid w:val="000653BC"/>
    <w:rsid w:val="000720FA"/>
    <w:rsid w:val="00081159"/>
    <w:rsid w:val="00081C16"/>
    <w:rsid w:val="00092004"/>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2402F"/>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0875"/>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46AC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4550"/>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5B64"/>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2988"/>
    <w:rsid w:val="006D31FE"/>
    <w:rsid w:val="006D544D"/>
    <w:rsid w:val="006E4441"/>
    <w:rsid w:val="006E4633"/>
    <w:rsid w:val="006E6826"/>
    <w:rsid w:val="006E6869"/>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4704"/>
    <w:rsid w:val="008069A4"/>
    <w:rsid w:val="00807878"/>
    <w:rsid w:val="00810347"/>
    <w:rsid w:val="00813820"/>
    <w:rsid w:val="008138EE"/>
    <w:rsid w:val="00816E21"/>
    <w:rsid w:val="00817F22"/>
    <w:rsid w:val="0082301A"/>
    <w:rsid w:val="00823600"/>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3DDE"/>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5EA3"/>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0CDF"/>
    <w:rsid w:val="00A816F5"/>
    <w:rsid w:val="00A81B51"/>
    <w:rsid w:val="00A82ACA"/>
    <w:rsid w:val="00A8365F"/>
    <w:rsid w:val="00A86282"/>
    <w:rsid w:val="00A86D2C"/>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15D"/>
    <w:rsid w:val="00B34F5F"/>
    <w:rsid w:val="00B37066"/>
    <w:rsid w:val="00B37C72"/>
    <w:rsid w:val="00B45BC4"/>
    <w:rsid w:val="00B519CF"/>
    <w:rsid w:val="00B545D0"/>
    <w:rsid w:val="00B62F5A"/>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31D2"/>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45DA"/>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3F89"/>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1382</Words>
  <Characters>8155</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10</cp:revision>
  <cp:lastPrinted>2014-09-03T05:59:00Z</cp:lastPrinted>
  <dcterms:created xsi:type="dcterms:W3CDTF">2024-06-18T06:06:00Z</dcterms:created>
  <dcterms:modified xsi:type="dcterms:W3CDTF">2024-09-13T11:37:00Z</dcterms:modified>
</cp:coreProperties>
</file>