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B9" w:rsidRDefault="00D34DB9" w:rsidP="00D34DB9">
      <w:pPr>
        <w:jc w:val="center"/>
      </w:pPr>
    </w:p>
    <w:p w:rsidR="00D34DB9" w:rsidRPr="00FF3F7D" w:rsidRDefault="00D34DB9" w:rsidP="001D5085">
      <w:pPr>
        <w:shd w:val="clear" w:color="auto" w:fill="D9D9D9"/>
        <w:tabs>
          <w:tab w:val="left" w:pos="9356"/>
        </w:tabs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D34DB9" w:rsidRDefault="00D34DB9" w:rsidP="00BB6EA0"/>
    <w:p w:rsidR="001D5085" w:rsidRDefault="001D5085" w:rsidP="001D5085"/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5529"/>
      </w:tblGrid>
      <w:tr w:rsidR="001D5085" w:rsidRPr="004B5F4E" w:rsidTr="00EC04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D5085" w:rsidRPr="00A5278B" w:rsidRDefault="001D5085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85" w:rsidRPr="00A5278B" w:rsidRDefault="001D5085" w:rsidP="00E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Michalovský domov seniorov</w:t>
            </w:r>
          </w:p>
          <w:p w:rsidR="001D5085" w:rsidRPr="00A5278B" w:rsidRDefault="001D5085" w:rsidP="00EC04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Ul. Jána Hollého 9, 071 01 Michalovce</w:t>
            </w:r>
          </w:p>
        </w:tc>
      </w:tr>
      <w:tr w:rsidR="001D5085" w:rsidRPr="004B5F4E" w:rsidTr="00EC04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D5085" w:rsidRPr="00A5278B" w:rsidRDefault="001D5085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85" w:rsidRPr="00A5278B" w:rsidRDefault="001D5085" w:rsidP="00EC04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5278B">
              <w:rPr>
                <w:rFonts w:asciiTheme="minorHAnsi" w:hAnsiTheme="minorHAnsi" w:cstheme="minorHAnsi"/>
                <w:b/>
                <w:sz w:val="20"/>
                <w:szCs w:val="20"/>
              </w:rPr>
              <w:t>Nákup potravín pre Michalovský domov seniorov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rok 2025</w:t>
            </w:r>
          </w:p>
          <w:p w:rsidR="001D5085" w:rsidRPr="00A5278B" w:rsidRDefault="001D5085" w:rsidP="00EC04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</w:p>
        </w:tc>
      </w:tr>
    </w:tbl>
    <w:p w:rsidR="001D5085" w:rsidRDefault="001D5085" w:rsidP="001D5085">
      <w:pPr>
        <w:jc w:val="center"/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1D5085" w:rsidRDefault="001D5085" w:rsidP="001D508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1D5085" w:rsidRPr="00E877A0" w:rsidRDefault="001D5085" w:rsidP="001D5085">
      <w:pPr>
        <w:jc w:val="center"/>
        <w:rPr>
          <w:rFonts w:asciiTheme="minorHAnsi" w:hAnsiTheme="minorHAnsi" w:cstheme="minorHAnsi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1"/>
        <w:gridCol w:w="6237"/>
      </w:tblGrid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1D5085" w:rsidRPr="00FF3F7D" w:rsidTr="00EC04F3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1D5085" w:rsidRPr="00FF3F7D" w:rsidRDefault="001D5085" w:rsidP="00EC04F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85" w:rsidRPr="00FF3F7D" w:rsidRDefault="001D5085" w:rsidP="00EC04F3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1D5085" w:rsidRDefault="001D5085" w:rsidP="001D5085">
      <w:pPr>
        <w:jc w:val="center"/>
      </w:pPr>
    </w:p>
    <w:p w:rsidR="001D5085" w:rsidRPr="00FA1245" w:rsidRDefault="001D5085" w:rsidP="001D508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1D5085" w:rsidRPr="00FA1245" w:rsidRDefault="001D5085" w:rsidP="001D5085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1D5085" w:rsidRPr="00FA1245" w:rsidRDefault="001D5085" w:rsidP="001D5085">
      <w:pPr>
        <w:pStyle w:val="Default"/>
        <w:numPr>
          <w:ilvl w:val="0"/>
          <w:numId w:val="1"/>
        </w:numPr>
        <w:ind w:left="426" w:hanging="426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 rozumiem,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 xml:space="preserve">elektronicky, spôsobom určeným funkcionalitou </w:t>
      </w:r>
      <w:proofErr w:type="spellStart"/>
      <w:r w:rsidRPr="00FA1245">
        <w:rPr>
          <w:rFonts w:asciiTheme="minorHAnsi" w:hAnsiTheme="minorHAnsi"/>
          <w:sz w:val="20"/>
          <w:szCs w:val="20"/>
        </w:rPr>
        <w:t>Josephine</w:t>
      </w:r>
      <w:proofErr w:type="spellEnd"/>
      <w:r w:rsidRPr="00FA1245">
        <w:rPr>
          <w:rFonts w:asciiTheme="minorHAnsi" w:hAnsiTheme="minorHAnsi"/>
          <w:sz w:val="20"/>
          <w:szCs w:val="20"/>
        </w:rPr>
        <w:t>, sú zhodné s originálnymi dokumentmi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>
        <w:rPr>
          <w:rFonts w:asciiTheme="minorHAnsi" w:hAnsiTheme="minorHAnsi"/>
          <w:sz w:val="20"/>
          <w:szCs w:val="20"/>
        </w:rPr>
        <w:t>Rámcovej dohod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1D5085" w:rsidRPr="00FA1245" w:rsidRDefault="001D5085" w:rsidP="001D5085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 na tento predmet zákazky,</w:t>
      </w:r>
    </w:p>
    <w:p w:rsidR="001D5085" w:rsidRPr="00FA1245" w:rsidRDefault="001D5085" w:rsidP="001D508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sme náležite ošetrili v súlade so zákonom č. 18/2018 Z. z. o ochrane osobných údajov,</w:t>
      </w:r>
    </w:p>
    <w:p w:rsidR="001D5085" w:rsidRPr="00FA1245" w:rsidRDefault="001D5085" w:rsidP="001D5085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1D5085" w:rsidRPr="00FA1245" w:rsidRDefault="001D5085" w:rsidP="001D508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1D5085" w:rsidRPr="00FA1245" w:rsidRDefault="001D5085" w:rsidP="001D5085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neposkytol som a neposkytnem akejkoľvek čo i len </w:t>
      </w:r>
      <w:proofErr w:type="spellStart"/>
      <w:r w:rsidRPr="00FA1245">
        <w:rPr>
          <w:rFonts w:asciiTheme="minorHAnsi" w:hAnsiTheme="minorHAnsi" w:cstheme="minorHAnsi"/>
          <w:sz w:val="20"/>
          <w:szCs w:val="20"/>
        </w:rPr>
        <w:t>potencionálne</w:t>
      </w:r>
      <w:proofErr w:type="spellEnd"/>
      <w:r w:rsidRPr="00FA1245">
        <w:rPr>
          <w:rFonts w:asciiTheme="minorHAnsi" w:hAnsiTheme="minorHAnsi" w:cstheme="minorHAnsi"/>
          <w:sz w:val="20"/>
          <w:szCs w:val="20"/>
        </w:rPr>
        <w:t xml:space="preserve"> zainteresovanej osobe priamo alebo nepriamo akúkoľvek finančnú alebo vecnú výhodu ako motiváciu alebo odmenu súvisiacu so zadaním tejto zákazky,</w:t>
      </w:r>
    </w:p>
    <w:p w:rsidR="001D5085" w:rsidRPr="00FA124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1D5085" w:rsidRPr="00FA124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1D5085" w:rsidRPr="001D5085" w:rsidRDefault="001D5085" w:rsidP="001D5085">
      <w:pPr>
        <w:pStyle w:val="Odsekzoznamu"/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D5085">
        <w:rPr>
          <w:rFonts w:asciiTheme="minorHAnsi" w:hAnsiTheme="minorHAnsi" w:cstheme="minorHAnsi"/>
          <w:sz w:val="20"/>
          <w:szCs w:val="20"/>
        </w:rPr>
        <w:lastRenderedPageBreak/>
        <w:t xml:space="preserve">súhlasím s  evidenciou a spracovaním osobných údajov podľa Zákona č.18/2018 </w:t>
      </w:r>
      <w:proofErr w:type="spellStart"/>
      <w:r w:rsidRPr="001D508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1D5085">
        <w:rPr>
          <w:rFonts w:asciiTheme="minorHAnsi" w:hAnsiTheme="minorHAnsi" w:cstheme="minorHAnsi"/>
          <w:sz w:val="20"/>
          <w:szCs w:val="20"/>
        </w:rPr>
        <w:t xml:space="preserve">. a Nariadenia (EÚ) 2016/679. V zmysle Zákona č.18/2018 </w:t>
      </w:r>
      <w:proofErr w:type="spellStart"/>
      <w:r w:rsidRPr="001D5085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1D5085">
        <w:rPr>
          <w:rFonts w:asciiTheme="minorHAnsi" w:hAnsiTheme="minorHAnsi" w:cstheme="minorHAnsi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1D5085" w:rsidRPr="009D3357" w:rsidRDefault="001D5085" w:rsidP="001D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435C0B" w:rsidRDefault="00435C0B" w:rsidP="00D34DB9">
      <w:pPr>
        <w:jc w:val="center"/>
      </w:pPr>
    </w:p>
    <w:p w:rsidR="00E60E43" w:rsidRDefault="00D34DB9" w:rsidP="001D5085">
      <w:pPr>
        <w:rPr>
          <w:rFonts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1D5085" w:rsidRDefault="00E60E43" w:rsidP="001D50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60E43">
        <w:rPr>
          <w:rFonts w:ascii="Calibri" w:hAnsi="Calibri" w:cs="Calibri"/>
          <w:b/>
          <w:color w:val="000000"/>
          <w:sz w:val="22"/>
          <w:szCs w:val="22"/>
        </w:rPr>
        <w:t xml:space="preserve">Zároveň vyhlasujem, </w:t>
      </w:r>
    </w:p>
    <w:p w:rsidR="00E60E43" w:rsidRPr="001D5085" w:rsidRDefault="00E60E43" w:rsidP="001D5085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60E43">
        <w:rPr>
          <w:rFonts w:ascii="Calibri" w:hAnsi="Calibri" w:cs="Calibri"/>
          <w:b/>
          <w:color w:val="000000"/>
          <w:sz w:val="22"/>
          <w:szCs w:val="22"/>
        </w:rPr>
        <w:t xml:space="preserve">že v zmysle § 11 ods. 1 ZVO nie som uchádzačom, </w:t>
      </w:r>
      <w:r w:rsidRPr="00E60E43">
        <w:rPr>
          <w:rFonts w:ascii="Calibri" w:hAnsi="Calibri" w:cs="Calibr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prezident Slovenskej republiky,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člen vlády,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>vedúci ústredného orgánu štátmej správy, ktorý nie je členom vlády,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vedúci orgánu štátmej správy s celoslovenskou pôsobnosťou,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sudca Ústavného súdu Slovenskej republiky alebo sudca,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generálny prokurátor Slovenskej republiky, špeciálny prokurátor alebo prokurátor, </w:t>
      </w:r>
    </w:p>
    <w:p w:rsidR="001D5085" w:rsidRPr="001D5085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verejný ochranca práv, </w:t>
      </w:r>
    </w:p>
    <w:p w:rsidR="00E60E43" w:rsidRPr="001D5085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709" w:hanging="709"/>
        <w:rPr>
          <w:rFonts w:ascii="Calibri" w:hAnsi="Calibri" w:cs="Calibri"/>
          <w:noProof/>
          <w:color w:val="000000"/>
          <w:sz w:val="22"/>
          <w:szCs w:val="22"/>
        </w:rPr>
      </w:pPr>
      <w:r w:rsidRPr="001D5085">
        <w:rPr>
          <w:rFonts w:ascii="Calibri" w:hAnsi="Calibri" w:cs="Calibri"/>
          <w:noProof/>
          <w:color w:val="000000"/>
          <w:sz w:val="22"/>
          <w:szCs w:val="22"/>
        </w:rPr>
        <w:t xml:space="preserve">predseda Najvyššieho kontrolného úradu Slovenskej republiky a podpredseda Najvyššieho kontrolného úradu Slovenskej republiky,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štátny tajomník,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generálny tajomník služobného úradu,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prednosta okresného úradu,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709" w:hanging="709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primátor hlavného mesta Slovenskej republiky Bratislavy, primátor krajského mesta alebo primátor okresného mesta, alebo </w:t>
      </w:r>
    </w:p>
    <w:p w:rsidR="00E60E43" w:rsidRPr="00E60E43" w:rsidRDefault="00E60E43" w:rsidP="001D5085">
      <w:pPr>
        <w:pStyle w:val="Normlnywebov"/>
        <w:numPr>
          <w:ilvl w:val="2"/>
          <w:numId w:val="3"/>
        </w:numPr>
        <w:spacing w:before="0" w:beforeAutospacing="0" w:after="0" w:afterAutospacing="0"/>
        <w:ind w:left="0" w:firstLine="0"/>
        <w:rPr>
          <w:rFonts w:ascii="Calibri" w:hAnsi="Calibri" w:cs="Calibri"/>
          <w:noProof/>
          <w:color w:val="000000"/>
          <w:sz w:val="22"/>
          <w:szCs w:val="22"/>
        </w:rPr>
      </w:pPr>
      <w:r w:rsidRPr="00E60E43">
        <w:rPr>
          <w:rFonts w:ascii="Calibri" w:hAnsi="Calibri" w:cs="Calibri"/>
          <w:noProof/>
          <w:color w:val="000000"/>
          <w:sz w:val="22"/>
          <w:szCs w:val="22"/>
        </w:rPr>
        <w:t xml:space="preserve">predseda vyššieho úzmeného celku, </w:t>
      </w:r>
    </w:p>
    <w:p w:rsidR="00E60E43" w:rsidRPr="00E60E43" w:rsidRDefault="00E60E43" w:rsidP="001D5085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E60E43">
      <w:pPr>
        <w:pStyle w:val="Normlnywebov"/>
        <w:spacing w:before="0" w:beforeAutospacing="0" w:after="0" w:afterAutospacing="0"/>
        <w:rPr>
          <w:rFonts w:ascii="Calibri" w:hAnsi="Calibri" w:cs="Calibri"/>
          <w:noProof/>
          <w:color w:val="000000"/>
          <w:sz w:val="22"/>
          <w:szCs w:val="22"/>
        </w:rPr>
      </w:pPr>
    </w:p>
    <w:p w:rsidR="00E60E43" w:rsidRPr="00E60E43" w:rsidRDefault="00E60E43" w:rsidP="00E60E43">
      <w:pPr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60E43" w:rsidRPr="00E60E43" w:rsidRDefault="00E60E43" w:rsidP="00E60E43">
      <w:pPr>
        <w:autoSpaceDE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E60E43">
        <w:rPr>
          <w:rFonts w:ascii="Calibri" w:hAnsi="Calibri" w:cs="Calibri"/>
          <w:color w:val="000000"/>
          <w:sz w:val="22"/>
          <w:szCs w:val="22"/>
        </w:rPr>
        <w:t xml:space="preserve">V ..............................dňa...................... </w:t>
      </w:r>
    </w:p>
    <w:p w:rsidR="001D5085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</w:p>
    <w:p w:rsidR="001D5085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</w:t>
      </w:r>
    </w:p>
    <w:p w:rsidR="001D5085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1D5085" w:rsidRPr="00E60E43" w:rsidRDefault="001D5085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</w:p>
    <w:p w:rsidR="00E60E43" w:rsidRPr="00E60E43" w:rsidRDefault="00E60E43" w:rsidP="00E60E43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</w:t>
      </w:r>
      <w:r w:rsidR="001D5085">
        <w:rPr>
          <w:rFonts w:ascii="Calibri" w:hAnsi="Calibri" w:cs="Calibri"/>
          <w:sz w:val="22"/>
          <w:szCs w:val="22"/>
        </w:rPr>
        <w:t xml:space="preserve">                    </w:t>
      </w:r>
      <w:r w:rsidRPr="00E60E43">
        <w:rPr>
          <w:rFonts w:ascii="Calibri" w:hAnsi="Calibri" w:cs="Calibri"/>
          <w:sz w:val="22"/>
          <w:szCs w:val="22"/>
        </w:rPr>
        <w:t xml:space="preserve">  ................................................................</w:t>
      </w:r>
      <w:r w:rsidR="001D5085">
        <w:rPr>
          <w:rFonts w:ascii="Calibri" w:hAnsi="Calibri" w:cs="Calibri"/>
          <w:sz w:val="22"/>
          <w:szCs w:val="22"/>
        </w:rPr>
        <w:t>..................</w:t>
      </w:r>
      <w:r w:rsidRPr="00E60E43">
        <w:rPr>
          <w:rFonts w:ascii="Calibri" w:hAnsi="Calibri" w:cs="Calibri"/>
          <w:sz w:val="22"/>
          <w:szCs w:val="22"/>
        </w:rPr>
        <w:t>...</w:t>
      </w:r>
    </w:p>
    <w:p w:rsidR="00E60E43" w:rsidRPr="00E60E43" w:rsidRDefault="00E60E43" w:rsidP="00E60E43">
      <w:pPr>
        <w:ind w:left="4254"/>
        <w:rPr>
          <w:rFonts w:ascii="Calibri" w:hAnsi="Calibri" w:cs="Calibri"/>
          <w:sz w:val="22"/>
          <w:szCs w:val="22"/>
        </w:rPr>
      </w:pPr>
      <w:r w:rsidRPr="001D5085">
        <w:rPr>
          <w:rFonts w:ascii="Calibri" w:hAnsi="Calibri" w:cs="Calibri"/>
          <w:sz w:val="22"/>
          <w:szCs w:val="22"/>
        </w:rPr>
        <w:t>Meno, priezvisko a podpis</w:t>
      </w:r>
      <w:r w:rsidRPr="00E60E43">
        <w:rPr>
          <w:rFonts w:ascii="Calibri" w:hAnsi="Calibri" w:cs="Calibri"/>
          <w:sz w:val="22"/>
          <w:szCs w:val="22"/>
        </w:rPr>
        <w:t xml:space="preserve"> štatutárneho zástupcu/ </w:t>
      </w:r>
    </w:p>
    <w:p w:rsidR="00D34DB9" w:rsidRPr="00E60E43" w:rsidRDefault="00E60E43" w:rsidP="00E60E43">
      <w:pPr>
        <w:rPr>
          <w:rFonts w:ascii="Calibri" w:hAnsi="Calibri" w:cs="Calibri"/>
          <w:sz w:val="22"/>
          <w:szCs w:val="22"/>
        </w:rPr>
      </w:pPr>
      <w:r w:rsidRPr="00E60E43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="001D5085">
        <w:rPr>
          <w:rFonts w:ascii="Calibri" w:hAnsi="Calibri" w:cs="Calibri"/>
          <w:sz w:val="22"/>
          <w:szCs w:val="22"/>
        </w:rPr>
        <w:t xml:space="preserve">                          </w:t>
      </w:r>
      <w:r w:rsidRPr="00E60E43">
        <w:rPr>
          <w:rFonts w:ascii="Calibri" w:hAnsi="Calibri" w:cs="Calibri"/>
          <w:sz w:val="22"/>
          <w:szCs w:val="22"/>
        </w:rPr>
        <w:t>oprávnenej osoby konať za uchádzača</w:t>
      </w:r>
    </w:p>
    <w:p w:rsidR="00183AD4" w:rsidRPr="00E60E43" w:rsidRDefault="00183AD4">
      <w:pPr>
        <w:rPr>
          <w:rFonts w:ascii="Calibri" w:hAnsi="Calibri" w:cs="Calibri"/>
          <w:sz w:val="22"/>
          <w:szCs w:val="22"/>
        </w:rPr>
      </w:pPr>
    </w:p>
    <w:sectPr w:rsidR="00183AD4" w:rsidRPr="00E60E43" w:rsidSect="001D5085">
      <w:footerReference w:type="default" r:id="rId8"/>
      <w:pgSz w:w="11906" w:h="16838"/>
      <w:pgMar w:top="1417" w:right="1133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3C" w:rsidRDefault="0096153C">
      <w:r>
        <w:separator/>
      </w:r>
    </w:p>
  </w:endnote>
  <w:endnote w:type="continuationSeparator" w:id="0">
    <w:p w:rsidR="0096153C" w:rsidRDefault="00961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788420"/>
      <w:docPartObj>
        <w:docPartGallery w:val="Page Numbers (Bottom of Page)"/>
        <w:docPartUnique/>
      </w:docPartObj>
    </w:sdtPr>
    <w:sdtContent>
      <w:p w:rsidR="003050F3" w:rsidRDefault="005820EB">
        <w:pPr>
          <w:pStyle w:val="Pta"/>
          <w:jc w:val="right"/>
        </w:pPr>
        <w:r>
          <w:rPr>
            <w:noProof/>
          </w:rPr>
          <w:fldChar w:fldCharType="begin"/>
        </w:r>
        <w:r w:rsidR="001075D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B6E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0F3" w:rsidRDefault="00BB6EA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3C" w:rsidRDefault="0096153C">
      <w:r>
        <w:separator/>
      </w:r>
    </w:p>
  </w:footnote>
  <w:footnote w:type="continuationSeparator" w:id="0">
    <w:p w:rsidR="0096153C" w:rsidRDefault="00961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DB9"/>
    <w:rsid w:val="001075DD"/>
    <w:rsid w:val="00183AD4"/>
    <w:rsid w:val="001D5085"/>
    <w:rsid w:val="001F150B"/>
    <w:rsid w:val="00435C0B"/>
    <w:rsid w:val="004D7C4F"/>
    <w:rsid w:val="005820EB"/>
    <w:rsid w:val="00697819"/>
    <w:rsid w:val="0096153C"/>
    <w:rsid w:val="00994F9C"/>
    <w:rsid w:val="00A55A54"/>
    <w:rsid w:val="00BB6EA0"/>
    <w:rsid w:val="00D34DB9"/>
    <w:rsid w:val="00DC5D90"/>
    <w:rsid w:val="00E12DD7"/>
    <w:rsid w:val="00E6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E60E43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9</cp:revision>
  <dcterms:created xsi:type="dcterms:W3CDTF">2022-08-08T20:52:00Z</dcterms:created>
  <dcterms:modified xsi:type="dcterms:W3CDTF">2024-11-10T15:49:00Z</dcterms:modified>
</cp:coreProperties>
</file>