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7C826" w14:textId="77777777" w:rsidR="00DF487F" w:rsidRPr="00CD2A61" w:rsidRDefault="00382779" w:rsidP="004C2CCB">
      <w:pPr>
        <w:pStyle w:val="Listaszerbekezds"/>
        <w:numPr>
          <w:ilvl w:val="0"/>
          <w:numId w:val="7"/>
        </w:numPr>
        <w:spacing w:after="0"/>
        <w:ind w:left="567" w:hanging="567"/>
        <w:jc w:val="both"/>
        <w:rPr>
          <w:rFonts w:cstheme="minorHAnsi"/>
          <w:b/>
          <w:sz w:val="20"/>
          <w:szCs w:val="20"/>
        </w:rPr>
      </w:pPr>
      <w:r w:rsidRPr="00CD2A61">
        <w:rPr>
          <w:rFonts w:cstheme="minorHAnsi"/>
          <w:b/>
          <w:sz w:val="20"/>
          <w:szCs w:val="20"/>
        </w:rPr>
        <w:t>Úvod</w:t>
      </w:r>
    </w:p>
    <w:p w14:paraId="4C87C827" w14:textId="77777777" w:rsidR="00382779" w:rsidRPr="00CD2A61" w:rsidRDefault="00382779" w:rsidP="004C2CCB">
      <w:pPr>
        <w:spacing w:after="0"/>
        <w:jc w:val="both"/>
        <w:rPr>
          <w:rFonts w:cstheme="minorHAnsi"/>
          <w:b/>
          <w:sz w:val="20"/>
          <w:szCs w:val="20"/>
        </w:rPr>
      </w:pPr>
    </w:p>
    <w:p w14:paraId="4C87C828" w14:textId="03E4F294" w:rsidR="004C05C1" w:rsidRPr="00CD2A61" w:rsidRDefault="004C05C1" w:rsidP="004C2CCB">
      <w:pPr>
        <w:pStyle w:val="Listaszerbekezds"/>
        <w:spacing w:after="0" w:line="240" w:lineRule="auto"/>
        <w:ind w:left="0" w:firstLine="567"/>
        <w:jc w:val="both"/>
        <w:rPr>
          <w:rFonts w:cstheme="minorHAnsi"/>
          <w:sz w:val="20"/>
          <w:szCs w:val="20"/>
        </w:rPr>
      </w:pPr>
      <w:r w:rsidRPr="00CD2A61">
        <w:rPr>
          <w:rFonts w:cstheme="minorHAnsi"/>
          <w:sz w:val="20"/>
          <w:szCs w:val="20"/>
        </w:rPr>
        <w:t>Predmetom posúdeni</w:t>
      </w:r>
      <w:r w:rsidR="00EE2F47" w:rsidRPr="00CD2A61">
        <w:rPr>
          <w:rFonts w:cstheme="minorHAnsi"/>
          <w:sz w:val="20"/>
          <w:szCs w:val="20"/>
        </w:rPr>
        <w:t>e</w:t>
      </w:r>
      <w:r w:rsidRPr="00CD2A61">
        <w:rPr>
          <w:rFonts w:cstheme="minorHAnsi"/>
          <w:sz w:val="20"/>
          <w:szCs w:val="20"/>
        </w:rPr>
        <w:t xml:space="preserve"> prízemnej budovy - skladu v obci </w:t>
      </w:r>
      <w:r w:rsidR="002B49ED" w:rsidRPr="00CD2A61">
        <w:rPr>
          <w:rFonts w:cstheme="minorHAnsi"/>
          <w:sz w:val="20"/>
          <w:szCs w:val="20"/>
        </w:rPr>
        <w:t>Marcelová</w:t>
      </w:r>
      <w:r w:rsidRPr="00CD2A61">
        <w:rPr>
          <w:rFonts w:cstheme="minorHAnsi"/>
          <w:sz w:val="20"/>
          <w:szCs w:val="20"/>
        </w:rPr>
        <w:t xml:space="preserve">, určené na skladovanie </w:t>
      </w:r>
      <w:r w:rsidR="00113733" w:rsidRPr="00CD2A61">
        <w:rPr>
          <w:rFonts w:cstheme="minorHAnsi"/>
          <w:sz w:val="20"/>
          <w:szCs w:val="20"/>
        </w:rPr>
        <w:t>cibule</w:t>
      </w:r>
      <w:r w:rsidR="00DC7D80" w:rsidRPr="00CD2A61">
        <w:rPr>
          <w:rFonts w:cstheme="minorHAnsi"/>
          <w:sz w:val="20"/>
          <w:szCs w:val="20"/>
        </w:rPr>
        <w:t xml:space="preserve"> s baliacou linkou</w:t>
      </w:r>
      <w:r w:rsidRPr="00CD2A61">
        <w:rPr>
          <w:rFonts w:cstheme="minorHAnsi"/>
          <w:sz w:val="20"/>
          <w:szCs w:val="20"/>
        </w:rPr>
        <w:t xml:space="preserve">. Skladová hala je jednopodlažný objekt obdĺžnikového pôdorysu </w:t>
      </w:r>
      <w:r w:rsidR="00113733" w:rsidRPr="00CD2A61">
        <w:rPr>
          <w:rFonts w:cstheme="minorHAnsi"/>
          <w:sz w:val="20"/>
          <w:szCs w:val="20"/>
        </w:rPr>
        <w:t>70,</w:t>
      </w:r>
      <w:r w:rsidR="00DC7D80" w:rsidRPr="00CD2A61">
        <w:rPr>
          <w:rFonts w:cstheme="minorHAnsi"/>
          <w:sz w:val="20"/>
          <w:szCs w:val="20"/>
        </w:rPr>
        <w:t>44</w:t>
      </w:r>
      <w:r w:rsidRPr="00CD2A61">
        <w:rPr>
          <w:rFonts w:cstheme="minorHAnsi"/>
          <w:sz w:val="20"/>
          <w:szCs w:val="20"/>
        </w:rPr>
        <w:t xml:space="preserve"> </w:t>
      </w:r>
      <w:r w:rsidR="00CA3458" w:rsidRPr="00CD2A61">
        <w:rPr>
          <w:rFonts w:cstheme="minorHAnsi"/>
          <w:sz w:val="20"/>
          <w:szCs w:val="20"/>
        </w:rPr>
        <w:t xml:space="preserve">m </w:t>
      </w:r>
      <w:r w:rsidRPr="00CD2A61">
        <w:rPr>
          <w:rFonts w:cstheme="minorHAnsi"/>
          <w:sz w:val="20"/>
          <w:szCs w:val="20"/>
        </w:rPr>
        <w:t>x 20,</w:t>
      </w:r>
      <w:r w:rsidR="00113733" w:rsidRPr="00CD2A61">
        <w:rPr>
          <w:rFonts w:cstheme="minorHAnsi"/>
          <w:sz w:val="20"/>
          <w:szCs w:val="20"/>
        </w:rPr>
        <w:t>50</w:t>
      </w:r>
      <w:r w:rsidRPr="00CD2A61">
        <w:rPr>
          <w:rFonts w:cstheme="minorHAnsi"/>
          <w:sz w:val="20"/>
          <w:szCs w:val="20"/>
        </w:rPr>
        <w:t xml:space="preserve"> m so sedlovou strechou so sklonom </w:t>
      </w:r>
      <w:r w:rsidR="00113733" w:rsidRPr="00CD2A61">
        <w:rPr>
          <w:rFonts w:cstheme="minorHAnsi"/>
          <w:sz w:val="20"/>
          <w:szCs w:val="20"/>
        </w:rPr>
        <w:t>1</w:t>
      </w:r>
      <w:r w:rsidR="00DC7D80" w:rsidRPr="00CD2A61">
        <w:rPr>
          <w:rFonts w:cstheme="minorHAnsi"/>
          <w:sz w:val="20"/>
          <w:szCs w:val="20"/>
        </w:rPr>
        <w:t>6</w:t>
      </w:r>
      <w:r w:rsidRPr="00CD2A61">
        <w:rPr>
          <w:rFonts w:cstheme="minorHAnsi"/>
          <w:sz w:val="20"/>
          <w:szCs w:val="20"/>
        </w:rPr>
        <w:t xml:space="preserve">°. Nachádza sa v obci </w:t>
      </w:r>
      <w:r w:rsidR="00113733" w:rsidRPr="00CD2A61">
        <w:rPr>
          <w:rFonts w:cstheme="minorHAnsi"/>
          <w:sz w:val="20"/>
          <w:szCs w:val="20"/>
        </w:rPr>
        <w:t>Marcelová</w:t>
      </w:r>
      <w:r w:rsidR="00CA3458" w:rsidRPr="00CD2A61">
        <w:rPr>
          <w:rFonts w:cstheme="minorHAnsi"/>
          <w:sz w:val="20"/>
          <w:szCs w:val="20"/>
        </w:rPr>
        <w:t xml:space="preserve"> n</w:t>
      </w:r>
      <w:r w:rsidRPr="00CD2A61">
        <w:rPr>
          <w:rFonts w:cstheme="minorHAnsi"/>
          <w:sz w:val="20"/>
          <w:szCs w:val="20"/>
        </w:rPr>
        <w:t xml:space="preserve">a parcele č.: </w:t>
      </w:r>
      <w:r w:rsidR="00DC7D80" w:rsidRPr="00CD2A61">
        <w:rPr>
          <w:rFonts w:cstheme="minorHAnsi"/>
          <w:sz w:val="20"/>
          <w:szCs w:val="20"/>
        </w:rPr>
        <w:t>692/242, 692/46</w:t>
      </w:r>
      <w:r w:rsidR="00CA3458" w:rsidRPr="00CD2A61">
        <w:rPr>
          <w:rFonts w:cstheme="minorHAnsi"/>
          <w:sz w:val="20"/>
          <w:szCs w:val="20"/>
        </w:rPr>
        <w:t>.</w:t>
      </w:r>
      <w:r w:rsidRPr="00CD2A61">
        <w:rPr>
          <w:rFonts w:cstheme="minorHAnsi"/>
          <w:sz w:val="20"/>
          <w:szCs w:val="20"/>
        </w:rPr>
        <w:t xml:space="preserve"> </w:t>
      </w:r>
    </w:p>
    <w:p w14:paraId="4C87C829" w14:textId="77777777" w:rsidR="00382779" w:rsidRPr="00CD2A61" w:rsidRDefault="00382779" w:rsidP="004C2CCB">
      <w:pPr>
        <w:pStyle w:val="Listaszerbekezds"/>
        <w:spacing w:after="0" w:line="240" w:lineRule="auto"/>
        <w:ind w:left="0" w:firstLine="567"/>
        <w:jc w:val="both"/>
        <w:rPr>
          <w:rFonts w:cstheme="minorHAnsi"/>
          <w:sz w:val="20"/>
          <w:szCs w:val="20"/>
        </w:rPr>
      </w:pPr>
      <w:r w:rsidRPr="00CD2A61">
        <w:rPr>
          <w:rFonts w:cstheme="minorHAnsi"/>
          <w:sz w:val="20"/>
          <w:szCs w:val="20"/>
        </w:rPr>
        <w:t xml:space="preserve">Základná koncepcia riešenia stavby z hľadiska požiarnej ochrany je spracovaná podľa zákona č.50/1976 Zb.- stavebného zákona v znení neskorších zmien a doplnkov, </w:t>
      </w:r>
      <w:r w:rsidR="008E3A39" w:rsidRPr="00CD2A61">
        <w:rPr>
          <w:rFonts w:cstheme="minorHAnsi"/>
          <w:sz w:val="20"/>
          <w:szCs w:val="20"/>
        </w:rPr>
        <w:t xml:space="preserve">zákona č. 314/2001 Z. z. o ochrane pred požiarmi v znení neskorších predpisov, vyhlášky MV SR č. 121/2002 Z.z. o požiarnej prevencii v znení neskorších predpisov, vyhlášky MV SR č. 94/2004 Z. z., ktorou sa ustanovujú technické požiadavky na protipožiarnu bezpečnosť pri výstavbe a pri užívaní stavieb v znení neskorších predpisov a  </w:t>
      </w:r>
      <w:r w:rsidRPr="00CD2A61">
        <w:rPr>
          <w:rFonts w:cstheme="minorHAnsi"/>
          <w:sz w:val="20"/>
          <w:szCs w:val="20"/>
        </w:rPr>
        <w:t>v zmysle záväzných  ustanovení STN a ostatných právnych predpisov z oboru požiarnej ochrany.</w:t>
      </w:r>
    </w:p>
    <w:p w14:paraId="4C87C82A" w14:textId="77777777" w:rsidR="00382779" w:rsidRPr="00CD2A61" w:rsidRDefault="00382779" w:rsidP="004C2CCB">
      <w:pPr>
        <w:pStyle w:val="Listaszerbekezds"/>
        <w:spacing w:after="0" w:line="240" w:lineRule="auto"/>
        <w:ind w:left="0" w:firstLine="567"/>
        <w:jc w:val="both"/>
        <w:rPr>
          <w:rFonts w:cstheme="minorHAnsi"/>
          <w:sz w:val="20"/>
          <w:szCs w:val="20"/>
        </w:rPr>
      </w:pPr>
      <w:r w:rsidRPr="00CD2A61">
        <w:rPr>
          <w:rFonts w:cstheme="minorHAnsi"/>
          <w:sz w:val="20"/>
          <w:szCs w:val="20"/>
        </w:rPr>
        <w:t xml:space="preserve">Z dôvodu zabránenia strát na životoch a zdraví osôb a strát na majetku musí byť projektovaný objekt navrhnutý tak, aby umožnil bezpečnú evakuáciu osôb z horiaceho alebo požiarom ohrozeného objektu na voľné priestranstvo alebo do iného požiarom neohrozeného objektu; bránil rozšíreniu požiaru medzi jednotlivými požiarnymi úsekmi vo vnútri objektu; bránil rozšírenie požiaru na iný objekt a umožnil účinný zásah požiarnych jednotiek pri hasení a záchranných prácach. </w:t>
      </w:r>
    </w:p>
    <w:p w14:paraId="4C87C82B" w14:textId="77777777" w:rsidR="00382779" w:rsidRPr="00CD2A61" w:rsidRDefault="00382779" w:rsidP="004C2CCB">
      <w:pPr>
        <w:pStyle w:val="Listaszerbekezds"/>
        <w:spacing w:after="0" w:line="240" w:lineRule="auto"/>
        <w:ind w:left="0" w:firstLine="567"/>
        <w:jc w:val="both"/>
        <w:rPr>
          <w:rFonts w:cstheme="minorHAnsi"/>
          <w:sz w:val="20"/>
          <w:szCs w:val="20"/>
        </w:rPr>
      </w:pPr>
      <w:r w:rsidRPr="00CD2A61">
        <w:rPr>
          <w:rFonts w:cstheme="minorHAnsi"/>
          <w:sz w:val="20"/>
          <w:szCs w:val="20"/>
        </w:rPr>
        <w:t xml:space="preserve">Podľa ustanovení §4 písm. k) zákona  SNR č. 314/2001 Z.z. o ochrane pred požiarmi, v znení neskorších predpisov, pri vypracúvaní projektovej dokumentácii stavieb, realizácii stavieb a ich užívaní, ako aj pri zmene užívania stavieb musia byť riešené a dodržané zásady protipožiarnej bezpečnosti podľa platných právnych predpisov. Podľa §4 písm. l) citovaného zákona, je potrebné zabezpečiť, aby pri zmene užívaní stavby nedošlo k zníženiu protipožiarnej bezpečnosti stavby, alebo jej časti, bezpečnosti osôb, alebo k sťaženiu zásahu požiarnych jednotiek.  </w:t>
      </w:r>
    </w:p>
    <w:p w14:paraId="4C87C82C" w14:textId="77777777" w:rsidR="00CB7DE0" w:rsidRPr="00CD2A61" w:rsidRDefault="00CB7DE0" w:rsidP="004C2CCB">
      <w:pPr>
        <w:pStyle w:val="Listaszerbekezds"/>
        <w:spacing w:after="0"/>
        <w:ind w:left="567"/>
        <w:jc w:val="both"/>
        <w:rPr>
          <w:rFonts w:cstheme="minorHAnsi"/>
          <w:b/>
          <w:sz w:val="20"/>
          <w:szCs w:val="20"/>
        </w:rPr>
      </w:pPr>
    </w:p>
    <w:p w14:paraId="4C87C82D" w14:textId="77777777" w:rsidR="00382779" w:rsidRPr="00CD2A61" w:rsidRDefault="00382779" w:rsidP="004C2CCB">
      <w:pPr>
        <w:pStyle w:val="Listaszerbekezds"/>
        <w:numPr>
          <w:ilvl w:val="0"/>
          <w:numId w:val="7"/>
        </w:numPr>
        <w:spacing w:after="0"/>
        <w:ind w:left="567" w:hanging="567"/>
        <w:jc w:val="both"/>
        <w:rPr>
          <w:rFonts w:cstheme="minorHAnsi"/>
          <w:b/>
          <w:sz w:val="20"/>
          <w:szCs w:val="20"/>
        </w:rPr>
      </w:pPr>
      <w:r w:rsidRPr="00CD2A61">
        <w:rPr>
          <w:rFonts w:cstheme="minorHAnsi"/>
          <w:b/>
          <w:sz w:val="20"/>
          <w:szCs w:val="20"/>
        </w:rPr>
        <w:t>Popis stavby</w:t>
      </w:r>
    </w:p>
    <w:p w14:paraId="4C87C82E" w14:textId="77777777" w:rsidR="00CB7DE0" w:rsidRPr="00CD2A61" w:rsidRDefault="00CB7DE0" w:rsidP="00B86B20">
      <w:pPr>
        <w:pStyle w:val="lfej"/>
        <w:tabs>
          <w:tab w:val="clear" w:pos="4536"/>
          <w:tab w:val="clear" w:pos="9072"/>
        </w:tabs>
        <w:jc w:val="both"/>
        <w:rPr>
          <w:rFonts w:cstheme="minorHAnsi"/>
          <w:sz w:val="20"/>
          <w:szCs w:val="20"/>
        </w:rPr>
      </w:pPr>
    </w:p>
    <w:p w14:paraId="4C87C82F" w14:textId="48D6AF62" w:rsidR="00C11765" w:rsidRPr="00CD2A61" w:rsidRDefault="00F32A6F" w:rsidP="00DC7D80">
      <w:pPr>
        <w:pStyle w:val="Listaszerbekezds"/>
        <w:spacing w:after="0" w:line="240" w:lineRule="auto"/>
        <w:ind w:left="0" w:firstLine="567"/>
        <w:jc w:val="both"/>
        <w:rPr>
          <w:rFonts w:cstheme="minorHAnsi"/>
          <w:sz w:val="20"/>
          <w:szCs w:val="20"/>
        </w:rPr>
      </w:pPr>
      <w:r w:rsidRPr="00CD2A61">
        <w:rPr>
          <w:rFonts w:cstheme="minorHAnsi"/>
          <w:sz w:val="20"/>
          <w:szCs w:val="20"/>
        </w:rPr>
        <w:t>Hala bude</w:t>
      </w:r>
      <w:r w:rsidR="00CB7DE0" w:rsidRPr="00CD2A61">
        <w:rPr>
          <w:rFonts w:cstheme="minorHAnsi"/>
          <w:sz w:val="20"/>
          <w:szCs w:val="20"/>
        </w:rPr>
        <w:t xml:space="preserve"> </w:t>
      </w:r>
      <w:r w:rsidR="00D02370" w:rsidRPr="00CD2A61">
        <w:rPr>
          <w:rFonts w:cstheme="minorHAnsi"/>
          <w:sz w:val="20"/>
          <w:szCs w:val="20"/>
        </w:rPr>
        <w:t>určen</w:t>
      </w:r>
      <w:r w:rsidRPr="00CD2A61">
        <w:rPr>
          <w:rFonts w:cstheme="minorHAnsi"/>
          <w:sz w:val="20"/>
          <w:szCs w:val="20"/>
        </w:rPr>
        <w:t>á</w:t>
      </w:r>
      <w:r w:rsidR="00D02370" w:rsidRPr="00CD2A61">
        <w:rPr>
          <w:rFonts w:cstheme="minorHAnsi"/>
          <w:sz w:val="20"/>
          <w:szCs w:val="20"/>
        </w:rPr>
        <w:t xml:space="preserve"> na skladovanie cibule s baliacou linkou. </w:t>
      </w:r>
      <w:r w:rsidR="00DC7D80" w:rsidRPr="00CD2A61">
        <w:rPr>
          <w:rFonts w:cstheme="minorHAnsi"/>
          <w:sz w:val="20"/>
          <w:szCs w:val="20"/>
        </w:rPr>
        <w:t xml:space="preserve">Skladová hala je jednopodlažný objekt obdĺžnikového pôdorysu 70,44 m x 20,50 m so sedlovou strechou so sklonom 16°. Nachádza sa v v katastrálnom území Marcelová na parcele č.: 692/242, 692/46, </w:t>
      </w:r>
      <w:r w:rsidR="00CB7DE0" w:rsidRPr="00CD2A61">
        <w:rPr>
          <w:rFonts w:cstheme="minorHAnsi"/>
          <w:sz w:val="20"/>
          <w:szCs w:val="20"/>
        </w:rPr>
        <w:t xml:space="preserve">ktoré sú v osobnom vlastníctve investora. </w:t>
      </w:r>
      <w:r w:rsidR="00C11765" w:rsidRPr="00CD2A61">
        <w:rPr>
          <w:rFonts w:cstheme="minorHAnsi"/>
          <w:sz w:val="20"/>
          <w:szCs w:val="20"/>
        </w:rPr>
        <w:t xml:space="preserve">Prístup na pozemok </w:t>
      </w:r>
      <w:r w:rsidR="005F5111" w:rsidRPr="00CD2A61">
        <w:rPr>
          <w:rFonts w:cstheme="minorHAnsi"/>
          <w:sz w:val="20"/>
          <w:szCs w:val="20"/>
        </w:rPr>
        <w:t>bude</w:t>
      </w:r>
      <w:r w:rsidR="00C11765" w:rsidRPr="00CD2A61">
        <w:rPr>
          <w:rFonts w:cstheme="minorHAnsi"/>
          <w:sz w:val="20"/>
          <w:szCs w:val="20"/>
        </w:rPr>
        <w:t xml:space="preserve"> zabezpečený cez </w:t>
      </w:r>
      <w:r w:rsidR="00DC7D80" w:rsidRPr="00CD2A61">
        <w:rPr>
          <w:rFonts w:cstheme="minorHAnsi"/>
          <w:sz w:val="20"/>
          <w:szCs w:val="20"/>
        </w:rPr>
        <w:t>jestvujúcu</w:t>
      </w:r>
      <w:r w:rsidR="00480095" w:rsidRPr="00CD2A61">
        <w:rPr>
          <w:rFonts w:cstheme="minorHAnsi"/>
          <w:sz w:val="20"/>
          <w:szCs w:val="20"/>
        </w:rPr>
        <w:t xml:space="preserve"> betónovú</w:t>
      </w:r>
      <w:r w:rsidR="00C11765" w:rsidRPr="00CD2A61">
        <w:rPr>
          <w:rFonts w:cstheme="minorHAnsi"/>
          <w:sz w:val="20"/>
          <w:szCs w:val="20"/>
        </w:rPr>
        <w:t xml:space="preserve"> cestnú komunikáciu</w:t>
      </w:r>
      <w:r w:rsidR="00DC7D80" w:rsidRPr="00CD2A61">
        <w:rPr>
          <w:rFonts w:cstheme="minorHAnsi"/>
          <w:sz w:val="20"/>
          <w:szCs w:val="20"/>
        </w:rPr>
        <w:t>,</w:t>
      </w:r>
      <w:r w:rsidR="00C11765" w:rsidRPr="00CD2A61">
        <w:rPr>
          <w:rFonts w:cstheme="minorHAnsi"/>
          <w:sz w:val="20"/>
          <w:szCs w:val="20"/>
        </w:rPr>
        <w:t xml:space="preserve"> ktorá sa nachádza pred pozemkom. </w:t>
      </w:r>
    </w:p>
    <w:p w14:paraId="76DA3234" w14:textId="2CD4AB55" w:rsidR="00487364" w:rsidRPr="00CD2A61" w:rsidRDefault="00C11765" w:rsidP="00487364">
      <w:pPr>
        <w:pStyle w:val="Listaszerbekezds"/>
        <w:spacing w:after="0" w:line="240" w:lineRule="auto"/>
        <w:ind w:left="0" w:firstLine="567"/>
        <w:jc w:val="both"/>
        <w:rPr>
          <w:rFonts w:cstheme="minorHAnsi"/>
          <w:sz w:val="20"/>
          <w:szCs w:val="20"/>
        </w:rPr>
      </w:pPr>
      <w:r w:rsidRPr="00CD2A61">
        <w:rPr>
          <w:rFonts w:cstheme="minorHAnsi"/>
          <w:sz w:val="20"/>
          <w:szCs w:val="20"/>
        </w:rPr>
        <w:t xml:space="preserve">Nosná konštrukcia haly je vytvorená z valcovaných oceľových prierezov. Hlavnú nosnú konštrukciu haly tvoria </w:t>
      </w:r>
      <w:r w:rsidR="00F32A6F" w:rsidRPr="00CD2A61">
        <w:rPr>
          <w:rFonts w:cstheme="minorHAnsi"/>
          <w:sz w:val="20"/>
          <w:szCs w:val="20"/>
        </w:rPr>
        <w:t>ocelové stĺpy</w:t>
      </w:r>
      <w:r w:rsidRPr="00CD2A61">
        <w:rPr>
          <w:rFonts w:cstheme="minorHAnsi"/>
          <w:sz w:val="20"/>
          <w:szCs w:val="20"/>
        </w:rPr>
        <w:t xml:space="preserve"> </w:t>
      </w:r>
      <w:r w:rsidR="00487364" w:rsidRPr="00CD2A61">
        <w:rPr>
          <w:rFonts w:cstheme="minorHAnsi"/>
          <w:sz w:val="20"/>
          <w:szCs w:val="20"/>
        </w:rPr>
        <w:t xml:space="preserve">ø160mm </w:t>
      </w:r>
      <w:r w:rsidRPr="00CD2A61">
        <w:rPr>
          <w:rFonts w:cstheme="minorHAnsi"/>
          <w:sz w:val="20"/>
          <w:szCs w:val="20"/>
        </w:rPr>
        <w:t xml:space="preserve">v osovej vzdialenosti 6,00 m. </w:t>
      </w:r>
      <w:r w:rsidR="00487364" w:rsidRPr="00CD2A61">
        <w:rPr>
          <w:rFonts w:cstheme="minorHAnsi"/>
          <w:sz w:val="20"/>
          <w:szCs w:val="20"/>
        </w:rPr>
        <w:t>Existujúca obvodová, murovaná stena hr.400mm je z plynosilikátu do výšky 2,25m. Navrhované o</w:t>
      </w:r>
      <w:r w:rsidRPr="00CD2A61">
        <w:rPr>
          <w:rFonts w:cstheme="minorHAnsi"/>
          <w:sz w:val="20"/>
          <w:szCs w:val="20"/>
        </w:rPr>
        <w:t xml:space="preserve">bvodové steny stavby </w:t>
      </w:r>
      <w:r w:rsidR="008C3161" w:rsidRPr="00CD2A61">
        <w:rPr>
          <w:rFonts w:cstheme="minorHAnsi"/>
          <w:sz w:val="20"/>
          <w:szCs w:val="20"/>
        </w:rPr>
        <w:t xml:space="preserve">sú navrhované zo sendvičových </w:t>
      </w:r>
      <w:r w:rsidR="00480095" w:rsidRPr="00CD2A61">
        <w:rPr>
          <w:rFonts w:cstheme="minorHAnsi"/>
          <w:sz w:val="20"/>
          <w:szCs w:val="20"/>
        </w:rPr>
        <w:t>P</w:t>
      </w:r>
      <w:r w:rsidR="00487364" w:rsidRPr="00CD2A61">
        <w:rPr>
          <w:rFonts w:cstheme="minorHAnsi"/>
          <w:sz w:val="20"/>
          <w:szCs w:val="20"/>
        </w:rPr>
        <w:t>I</w:t>
      </w:r>
      <w:r w:rsidR="00480095" w:rsidRPr="00CD2A61">
        <w:rPr>
          <w:rFonts w:cstheme="minorHAnsi"/>
          <w:sz w:val="20"/>
          <w:szCs w:val="20"/>
        </w:rPr>
        <w:t xml:space="preserve">R </w:t>
      </w:r>
      <w:r w:rsidR="008C3161" w:rsidRPr="00CD2A61">
        <w:rPr>
          <w:rFonts w:cstheme="minorHAnsi"/>
          <w:sz w:val="20"/>
          <w:szCs w:val="20"/>
        </w:rPr>
        <w:t>p</w:t>
      </w:r>
      <w:r w:rsidRPr="00CD2A61">
        <w:rPr>
          <w:rFonts w:cstheme="minorHAnsi"/>
          <w:sz w:val="20"/>
          <w:szCs w:val="20"/>
        </w:rPr>
        <w:t>anelov</w:t>
      </w:r>
      <w:r w:rsidR="00480095" w:rsidRPr="00CD2A61">
        <w:rPr>
          <w:rFonts w:cstheme="minorHAnsi"/>
          <w:sz w:val="20"/>
          <w:szCs w:val="20"/>
        </w:rPr>
        <w:t xml:space="preserve"> hr. 1</w:t>
      </w:r>
      <w:r w:rsidR="00487364" w:rsidRPr="00CD2A61">
        <w:rPr>
          <w:rFonts w:cstheme="minorHAnsi"/>
          <w:sz w:val="20"/>
          <w:szCs w:val="20"/>
        </w:rPr>
        <w:t>2</w:t>
      </w:r>
      <w:r w:rsidR="00480095" w:rsidRPr="00CD2A61">
        <w:rPr>
          <w:rFonts w:cstheme="minorHAnsi"/>
          <w:sz w:val="20"/>
          <w:szCs w:val="20"/>
        </w:rPr>
        <w:t xml:space="preserve">0 mm, </w:t>
      </w:r>
      <w:r w:rsidRPr="00CD2A61">
        <w:rPr>
          <w:rFonts w:cstheme="minorHAnsi"/>
          <w:sz w:val="20"/>
          <w:szCs w:val="20"/>
        </w:rPr>
        <w:t>kotevné k oceľ</w:t>
      </w:r>
      <w:r w:rsidR="00487364" w:rsidRPr="00CD2A61">
        <w:rPr>
          <w:rFonts w:cstheme="minorHAnsi"/>
          <w:sz w:val="20"/>
          <w:szCs w:val="20"/>
        </w:rPr>
        <w:t>ovým</w:t>
      </w:r>
      <w:r w:rsidRPr="00CD2A61">
        <w:rPr>
          <w:rFonts w:cstheme="minorHAnsi"/>
          <w:sz w:val="20"/>
          <w:szCs w:val="20"/>
        </w:rPr>
        <w:t xml:space="preserve"> stĺpom</w:t>
      </w:r>
      <w:r w:rsidR="00C376C2" w:rsidRPr="00CD2A61">
        <w:rPr>
          <w:rFonts w:cstheme="minorHAnsi"/>
          <w:sz w:val="20"/>
          <w:szCs w:val="20"/>
        </w:rPr>
        <w:t xml:space="preserve"> (konštrukčný prvok  druhu D</w:t>
      </w:r>
      <w:r w:rsidR="007E46B9" w:rsidRPr="00CD2A61">
        <w:rPr>
          <w:rFonts w:cstheme="minorHAnsi"/>
          <w:sz w:val="20"/>
          <w:szCs w:val="20"/>
        </w:rPr>
        <w:t>3</w:t>
      </w:r>
      <w:r w:rsidR="00C376C2" w:rsidRPr="00CD2A61">
        <w:rPr>
          <w:rFonts w:cstheme="minorHAnsi"/>
          <w:sz w:val="20"/>
          <w:szCs w:val="20"/>
        </w:rPr>
        <w:t xml:space="preserve"> – podľa čl. 2.5.1 </w:t>
      </w:r>
      <w:r w:rsidR="007E46B9" w:rsidRPr="00CD2A61">
        <w:rPr>
          <w:rFonts w:cstheme="minorHAnsi"/>
          <w:sz w:val="20"/>
          <w:szCs w:val="20"/>
        </w:rPr>
        <w:t>c</w:t>
      </w:r>
      <w:r w:rsidR="00C376C2" w:rsidRPr="00CD2A61">
        <w:rPr>
          <w:rFonts w:cstheme="minorHAnsi"/>
          <w:sz w:val="20"/>
          <w:szCs w:val="20"/>
        </w:rPr>
        <w:t>) STN 92 0201-2).</w:t>
      </w:r>
    </w:p>
    <w:p w14:paraId="4C87C831" w14:textId="5971251C" w:rsidR="00C11765" w:rsidRPr="00CD2A61" w:rsidRDefault="003B0353" w:rsidP="00487364">
      <w:pPr>
        <w:pStyle w:val="Listaszerbekezds"/>
        <w:spacing w:after="0" w:line="240" w:lineRule="auto"/>
        <w:ind w:left="0" w:firstLine="567"/>
        <w:jc w:val="both"/>
        <w:rPr>
          <w:rFonts w:cstheme="minorHAnsi"/>
          <w:sz w:val="20"/>
          <w:szCs w:val="20"/>
        </w:rPr>
      </w:pPr>
      <w:r w:rsidRPr="00CD2A61">
        <w:rPr>
          <w:rFonts w:cstheme="minorHAnsi"/>
          <w:sz w:val="20"/>
          <w:szCs w:val="20"/>
        </w:rPr>
        <w:t xml:space="preserve">Nosnú konštrukciu strechy tvoria väznice z tenkostenných oceľových profilov, ku ktorým je prichytený strešný plášť. Strecha je navrhnutá ako sedlová strecha strecha, so sklonom </w:t>
      </w:r>
      <w:r w:rsidR="00F122C1" w:rsidRPr="00CD2A61">
        <w:rPr>
          <w:rFonts w:cstheme="minorHAnsi"/>
          <w:sz w:val="20"/>
          <w:szCs w:val="20"/>
        </w:rPr>
        <w:t>16</w:t>
      </w:r>
      <w:r w:rsidRPr="00CD2A61">
        <w:rPr>
          <w:rFonts w:cstheme="minorHAnsi"/>
          <w:sz w:val="20"/>
          <w:szCs w:val="20"/>
        </w:rPr>
        <w:t>°. Strešná krytina je navrhnutá zo sendvičových</w:t>
      </w:r>
      <w:r w:rsidR="00F122C1" w:rsidRPr="00CD2A61">
        <w:rPr>
          <w:rFonts w:cstheme="minorHAnsi"/>
          <w:sz w:val="20"/>
          <w:szCs w:val="20"/>
        </w:rPr>
        <w:t xml:space="preserve"> PIR</w:t>
      </w:r>
      <w:r w:rsidRPr="00CD2A61">
        <w:rPr>
          <w:rFonts w:cstheme="minorHAnsi"/>
          <w:sz w:val="20"/>
          <w:szCs w:val="20"/>
        </w:rPr>
        <w:t xml:space="preserve"> panelov hrúbky </w:t>
      </w:r>
      <w:r w:rsidR="00F122C1" w:rsidRPr="00CD2A61">
        <w:rPr>
          <w:rFonts w:cstheme="minorHAnsi"/>
          <w:sz w:val="20"/>
          <w:szCs w:val="20"/>
        </w:rPr>
        <w:t>8</w:t>
      </w:r>
      <w:r w:rsidRPr="00CD2A61">
        <w:rPr>
          <w:rFonts w:cstheme="minorHAnsi"/>
          <w:sz w:val="20"/>
          <w:szCs w:val="20"/>
        </w:rPr>
        <w:t xml:space="preserve">0 mm. </w:t>
      </w:r>
      <w:r w:rsidR="00C11765" w:rsidRPr="00CD2A61">
        <w:rPr>
          <w:rFonts w:cstheme="minorHAnsi"/>
          <w:sz w:val="20"/>
          <w:szCs w:val="20"/>
        </w:rPr>
        <w:t>Výška štítu strechy sa nachádza vo výške +</w:t>
      </w:r>
      <w:r w:rsidR="00480095" w:rsidRPr="00CD2A61">
        <w:rPr>
          <w:rFonts w:cstheme="minorHAnsi"/>
          <w:sz w:val="20"/>
          <w:szCs w:val="20"/>
        </w:rPr>
        <w:t>8,</w:t>
      </w:r>
      <w:r w:rsidR="00F122C1" w:rsidRPr="00CD2A61">
        <w:rPr>
          <w:rFonts w:cstheme="minorHAnsi"/>
          <w:sz w:val="20"/>
          <w:szCs w:val="20"/>
        </w:rPr>
        <w:t>1</w:t>
      </w:r>
      <w:r w:rsidR="00480095" w:rsidRPr="00CD2A61">
        <w:rPr>
          <w:rFonts w:cstheme="minorHAnsi"/>
          <w:sz w:val="20"/>
          <w:szCs w:val="20"/>
        </w:rPr>
        <w:t>5</w:t>
      </w:r>
      <w:r w:rsidR="00C11765" w:rsidRPr="00CD2A61">
        <w:rPr>
          <w:rFonts w:cstheme="minorHAnsi"/>
          <w:sz w:val="20"/>
          <w:szCs w:val="20"/>
        </w:rPr>
        <w:t>0 m, výška žlabu +</w:t>
      </w:r>
      <w:r w:rsidR="00F122C1" w:rsidRPr="00CD2A61">
        <w:rPr>
          <w:rFonts w:cstheme="minorHAnsi"/>
          <w:sz w:val="20"/>
          <w:szCs w:val="20"/>
        </w:rPr>
        <w:t>4,80</w:t>
      </w:r>
      <w:r w:rsidR="00C11765" w:rsidRPr="00CD2A61">
        <w:rPr>
          <w:rFonts w:cstheme="minorHAnsi"/>
          <w:sz w:val="20"/>
          <w:szCs w:val="20"/>
        </w:rPr>
        <w:t xml:space="preserve"> m. </w:t>
      </w:r>
    </w:p>
    <w:p w14:paraId="4C87C832" w14:textId="655F4311" w:rsidR="00C11765" w:rsidRPr="00CD2A61" w:rsidRDefault="00F122C1" w:rsidP="004C2CCB">
      <w:pPr>
        <w:pStyle w:val="Listaszerbekezds"/>
        <w:spacing w:after="0" w:line="240" w:lineRule="auto"/>
        <w:ind w:left="0" w:firstLine="567"/>
        <w:jc w:val="both"/>
        <w:rPr>
          <w:rFonts w:cstheme="minorHAnsi"/>
          <w:sz w:val="20"/>
          <w:szCs w:val="20"/>
        </w:rPr>
      </w:pPr>
      <w:r w:rsidRPr="00CD2A61">
        <w:rPr>
          <w:rFonts w:cstheme="minorHAnsi"/>
          <w:sz w:val="20"/>
          <w:szCs w:val="20"/>
        </w:rPr>
        <w:t>O</w:t>
      </w:r>
      <w:r w:rsidR="003B0353" w:rsidRPr="00CD2A61">
        <w:rPr>
          <w:rFonts w:cstheme="minorHAnsi"/>
          <w:sz w:val="20"/>
          <w:szCs w:val="20"/>
        </w:rPr>
        <w:t>kná na fasáde</w:t>
      </w:r>
      <w:r w:rsidR="00C11765" w:rsidRPr="00CD2A61">
        <w:rPr>
          <w:rFonts w:cstheme="minorHAnsi"/>
          <w:sz w:val="20"/>
          <w:szCs w:val="20"/>
        </w:rPr>
        <w:t xml:space="preserve"> sú plastové, </w:t>
      </w:r>
      <w:r w:rsidRPr="00CD2A61">
        <w:rPr>
          <w:rFonts w:cstheme="minorHAnsi"/>
          <w:sz w:val="20"/>
          <w:szCs w:val="20"/>
        </w:rPr>
        <w:t>dvere sú</w:t>
      </w:r>
      <w:r w:rsidR="003B0353" w:rsidRPr="00CD2A61">
        <w:rPr>
          <w:rFonts w:cstheme="minorHAnsi"/>
          <w:sz w:val="20"/>
          <w:szCs w:val="20"/>
        </w:rPr>
        <w:t xml:space="preserve"> hliníkové, p</w:t>
      </w:r>
      <w:r w:rsidR="00C11765" w:rsidRPr="00CD2A61">
        <w:rPr>
          <w:rFonts w:cstheme="minorHAnsi"/>
          <w:sz w:val="20"/>
          <w:szCs w:val="20"/>
        </w:rPr>
        <w:t xml:space="preserve">riemyselná sekcionálna brána s oceľovými lamelami bude montovaná na </w:t>
      </w:r>
      <w:r w:rsidRPr="00CD2A61">
        <w:rPr>
          <w:rFonts w:cstheme="minorHAnsi"/>
          <w:sz w:val="20"/>
          <w:szCs w:val="20"/>
        </w:rPr>
        <w:t>severo</w:t>
      </w:r>
      <w:r w:rsidR="003B0353" w:rsidRPr="00CD2A61">
        <w:rPr>
          <w:rFonts w:cstheme="minorHAnsi"/>
          <w:sz w:val="20"/>
          <w:szCs w:val="20"/>
        </w:rPr>
        <w:t>východnú</w:t>
      </w:r>
      <w:r w:rsidR="00C11765" w:rsidRPr="00CD2A61">
        <w:rPr>
          <w:rFonts w:cstheme="minorHAnsi"/>
          <w:sz w:val="20"/>
          <w:szCs w:val="20"/>
        </w:rPr>
        <w:t xml:space="preserve"> fasádu. </w:t>
      </w:r>
    </w:p>
    <w:p w14:paraId="2B3B080D" w14:textId="769ADD85" w:rsidR="0048735B" w:rsidRDefault="00C11765" w:rsidP="00B86B20">
      <w:pPr>
        <w:pStyle w:val="Listaszerbekezds"/>
        <w:spacing w:after="0" w:line="240" w:lineRule="auto"/>
        <w:ind w:left="0" w:firstLine="567"/>
        <w:jc w:val="both"/>
        <w:rPr>
          <w:rFonts w:cstheme="minorHAnsi"/>
          <w:sz w:val="20"/>
          <w:szCs w:val="20"/>
        </w:rPr>
      </w:pPr>
      <w:r w:rsidRPr="00CD2A61">
        <w:rPr>
          <w:rFonts w:cstheme="minorHAnsi"/>
          <w:sz w:val="20"/>
          <w:szCs w:val="20"/>
        </w:rPr>
        <w:t xml:space="preserve">Podlahová doska hrúbky 200 mm je navrhnutá </w:t>
      </w:r>
      <w:r w:rsidR="00210135" w:rsidRPr="00CD2A61">
        <w:rPr>
          <w:rFonts w:cstheme="minorHAnsi"/>
          <w:sz w:val="20"/>
          <w:szCs w:val="20"/>
        </w:rPr>
        <w:t>zo železobetónu</w:t>
      </w:r>
      <w:r w:rsidRPr="00CD2A61">
        <w:rPr>
          <w:rFonts w:cstheme="minorHAnsi"/>
          <w:sz w:val="20"/>
          <w:szCs w:val="20"/>
        </w:rPr>
        <w:t xml:space="preserve"> s</w:t>
      </w:r>
      <w:r w:rsidR="00210135" w:rsidRPr="00CD2A61">
        <w:rPr>
          <w:rFonts w:cstheme="minorHAnsi"/>
          <w:sz w:val="20"/>
          <w:szCs w:val="20"/>
        </w:rPr>
        <w:t>o vsypanou</w:t>
      </w:r>
      <w:r w:rsidRPr="00CD2A61">
        <w:rPr>
          <w:rFonts w:cstheme="minorHAnsi"/>
          <w:sz w:val="20"/>
          <w:szCs w:val="20"/>
        </w:rPr>
        <w:t xml:space="preserve"> výstužou</w:t>
      </w:r>
      <w:r w:rsidR="003B0353" w:rsidRPr="00CD2A61">
        <w:rPr>
          <w:rFonts w:cstheme="minorHAnsi"/>
          <w:sz w:val="20"/>
          <w:szCs w:val="20"/>
        </w:rPr>
        <w:t>.</w:t>
      </w:r>
      <w:r w:rsidR="000D66C1" w:rsidRPr="00CD2A61">
        <w:rPr>
          <w:rFonts w:cstheme="minorHAnsi"/>
          <w:sz w:val="20"/>
          <w:szCs w:val="20"/>
        </w:rPr>
        <w:t xml:space="preserve">                                                                     </w:t>
      </w:r>
    </w:p>
    <w:p w14:paraId="2E312460" w14:textId="77777777" w:rsidR="00B86B20" w:rsidRPr="00CD2A61" w:rsidRDefault="00B86B20" w:rsidP="00B86B20">
      <w:pPr>
        <w:pStyle w:val="Listaszerbekezds"/>
        <w:spacing w:after="0" w:line="240" w:lineRule="auto"/>
        <w:ind w:left="0" w:firstLine="567"/>
        <w:jc w:val="both"/>
        <w:rPr>
          <w:rFonts w:cstheme="minorHAnsi"/>
          <w:sz w:val="20"/>
          <w:szCs w:val="20"/>
        </w:rPr>
      </w:pPr>
    </w:p>
    <w:p w14:paraId="4C87C87E" w14:textId="77777777" w:rsidR="00DF487F" w:rsidRPr="00CD2A61" w:rsidRDefault="00DF487F" w:rsidP="004C2CCB">
      <w:pPr>
        <w:pStyle w:val="Listaszerbekezds"/>
        <w:numPr>
          <w:ilvl w:val="0"/>
          <w:numId w:val="7"/>
        </w:numPr>
        <w:spacing w:after="0"/>
        <w:ind w:left="567" w:hanging="567"/>
        <w:jc w:val="both"/>
        <w:rPr>
          <w:rFonts w:cstheme="minorHAnsi"/>
          <w:b/>
          <w:sz w:val="20"/>
          <w:szCs w:val="20"/>
        </w:rPr>
      </w:pPr>
      <w:bookmarkStart w:id="0" w:name="_Hlk75350609"/>
      <w:r w:rsidRPr="00CD2A61">
        <w:rPr>
          <w:rFonts w:cstheme="minorHAnsi"/>
          <w:b/>
          <w:sz w:val="20"/>
          <w:szCs w:val="20"/>
        </w:rPr>
        <w:t>Riešenie protipožiarnej bezpečnosti stavby</w:t>
      </w:r>
    </w:p>
    <w:p w14:paraId="4C87C87F" w14:textId="77777777" w:rsidR="004210C8" w:rsidRPr="00CD2A61" w:rsidRDefault="004210C8" w:rsidP="004C2CCB">
      <w:pPr>
        <w:pStyle w:val="Listaszerbekezds"/>
        <w:spacing w:after="0"/>
        <w:ind w:left="360"/>
        <w:jc w:val="both"/>
        <w:rPr>
          <w:rFonts w:cstheme="minorHAnsi"/>
          <w:b/>
          <w:sz w:val="20"/>
          <w:szCs w:val="20"/>
        </w:rPr>
      </w:pPr>
    </w:p>
    <w:p w14:paraId="4C87C880" w14:textId="77777777" w:rsidR="00D32A99" w:rsidRPr="00CD2A61" w:rsidRDefault="00D32A99" w:rsidP="004C2CCB">
      <w:pPr>
        <w:spacing w:after="0" w:line="240" w:lineRule="auto"/>
        <w:ind w:firstLine="567"/>
        <w:jc w:val="both"/>
        <w:rPr>
          <w:rFonts w:cstheme="minorHAnsi"/>
          <w:sz w:val="20"/>
          <w:szCs w:val="20"/>
        </w:rPr>
      </w:pPr>
      <w:r w:rsidRPr="00CD2A61">
        <w:rPr>
          <w:rFonts w:cstheme="minorHAnsi"/>
          <w:sz w:val="20"/>
          <w:szCs w:val="20"/>
        </w:rPr>
        <w:t xml:space="preserve">Protipožiarna bezpečnosť stavby je posudzovaná podľa vyhlášky MV SR č. 94/2004 Z.z. (ďalej len „vyhlášky“) v nadväznosti na STN 92 0201-1 až 4, STN 92 0241, STN 92 0400, vyhlášky MV SR č. 699/2004 Z. z., vyhlášky MV SR č. 401/2007 Z. z., a ostatných platných právnych predpisov z oblasti ochrany pred požiarmi. </w:t>
      </w:r>
    </w:p>
    <w:p w14:paraId="4C87C881" w14:textId="12D3AD9A" w:rsidR="002B4DF8" w:rsidRPr="00CD2A61" w:rsidRDefault="002B4DF8" w:rsidP="004C2CCB">
      <w:pPr>
        <w:spacing w:after="0" w:line="240" w:lineRule="auto"/>
        <w:ind w:firstLine="567"/>
        <w:jc w:val="both"/>
        <w:rPr>
          <w:rFonts w:cstheme="minorHAnsi"/>
          <w:sz w:val="20"/>
          <w:szCs w:val="20"/>
        </w:rPr>
      </w:pPr>
      <w:r w:rsidRPr="00CD2A61">
        <w:rPr>
          <w:rFonts w:cstheme="minorHAnsi"/>
          <w:sz w:val="20"/>
          <w:szCs w:val="20"/>
        </w:rPr>
        <w:t xml:space="preserve">Objekt sa v tejto súvislosti posudzuje </w:t>
      </w:r>
      <w:r w:rsidR="00210135" w:rsidRPr="00CD2A61">
        <w:rPr>
          <w:rFonts w:cstheme="minorHAnsi"/>
          <w:sz w:val="20"/>
          <w:szCs w:val="20"/>
        </w:rPr>
        <w:t xml:space="preserve">ako </w:t>
      </w:r>
      <w:r w:rsidR="00210135" w:rsidRPr="00CD2A61">
        <w:rPr>
          <w:rFonts w:cstheme="minorHAnsi"/>
          <w:b/>
          <w:sz w:val="20"/>
          <w:szCs w:val="20"/>
        </w:rPr>
        <w:t>stavba poľnohospodárskej výroby</w:t>
      </w:r>
      <w:r w:rsidR="00210135" w:rsidRPr="00CD2A61">
        <w:rPr>
          <w:rFonts w:cstheme="minorHAnsi"/>
          <w:sz w:val="20"/>
          <w:szCs w:val="20"/>
        </w:rPr>
        <w:t xml:space="preserve"> podľa vyhl., § 1, ods.(1) k)  </w:t>
      </w:r>
      <w:r w:rsidRPr="00CD2A61">
        <w:rPr>
          <w:rFonts w:cstheme="minorHAnsi"/>
          <w:sz w:val="20"/>
          <w:szCs w:val="20"/>
        </w:rPr>
        <w:t xml:space="preserve">STN 92 0201-2 pozostávajúca z </w:t>
      </w:r>
      <w:r w:rsidR="00534B2B">
        <w:rPr>
          <w:rFonts w:cstheme="minorHAnsi"/>
          <w:sz w:val="20"/>
          <w:szCs w:val="20"/>
        </w:rPr>
        <w:t>ne</w:t>
      </w:r>
      <w:r w:rsidR="00210135" w:rsidRPr="00CD2A61">
        <w:rPr>
          <w:rFonts w:cstheme="minorHAnsi"/>
          <w:sz w:val="20"/>
          <w:szCs w:val="20"/>
        </w:rPr>
        <w:t>horľavého</w:t>
      </w:r>
      <w:r w:rsidRPr="00CD2A61">
        <w:rPr>
          <w:rFonts w:cstheme="minorHAnsi"/>
          <w:sz w:val="20"/>
          <w:szCs w:val="20"/>
        </w:rPr>
        <w:t xml:space="preserve"> konštrukčného celku s požiarnou výškou </w:t>
      </w:r>
      <w:r w:rsidRPr="00CD2A61">
        <w:rPr>
          <w:rFonts w:cstheme="minorHAnsi"/>
          <w:i/>
          <w:sz w:val="20"/>
          <w:szCs w:val="20"/>
        </w:rPr>
        <w:t>h</w:t>
      </w:r>
      <w:r w:rsidRPr="00CD2A61">
        <w:rPr>
          <w:rFonts w:cstheme="minorHAnsi"/>
          <w:i/>
          <w:sz w:val="20"/>
          <w:szCs w:val="20"/>
          <w:vertAlign w:val="subscript"/>
        </w:rPr>
        <w:t>p</w:t>
      </w:r>
      <w:r w:rsidRPr="00CD2A61">
        <w:rPr>
          <w:rFonts w:cstheme="minorHAnsi"/>
          <w:sz w:val="20"/>
          <w:szCs w:val="20"/>
          <w:vertAlign w:val="subscript"/>
        </w:rPr>
        <w:t xml:space="preserve"> </w:t>
      </w:r>
      <w:r w:rsidRPr="00CD2A61">
        <w:rPr>
          <w:rFonts w:cstheme="minorHAnsi"/>
          <w:sz w:val="20"/>
          <w:szCs w:val="20"/>
        </w:rPr>
        <w:t xml:space="preserve">= 0 m (§13, ods.3 vyhlášky). </w:t>
      </w:r>
    </w:p>
    <w:p w14:paraId="4C87C882" w14:textId="77777777" w:rsidR="002B4DF8" w:rsidRPr="00CD2A61" w:rsidRDefault="002B4DF8" w:rsidP="004C2CCB">
      <w:pPr>
        <w:spacing w:after="0"/>
        <w:ind w:left="284" w:firstLine="283"/>
        <w:jc w:val="both"/>
        <w:rPr>
          <w:rFonts w:cstheme="minorHAnsi"/>
          <w:color w:val="FF0000"/>
          <w:sz w:val="20"/>
          <w:szCs w:val="20"/>
        </w:rPr>
      </w:pPr>
    </w:p>
    <w:p w14:paraId="4C87C883" w14:textId="77777777" w:rsidR="00DF487F" w:rsidRPr="00CD2A61" w:rsidRDefault="00DF487F" w:rsidP="004C2CCB">
      <w:pPr>
        <w:pStyle w:val="Listaszerbekezds"/>
        <w:numPr>
          <w:ilvl w:val="1"/>
          <w:numId w:val="7"/>
        </w:numPr>
        <w:spacing w:after="0"/>
        <w:ind w:left="1134" w:hanging="567"/>
        <w:jc w:val="both"/>
        <w:rPr>
          <w:rFonts w:cstheme="minorHAnsi"/>
          <w:b/>
          <w:sz w:val="20"/>
          <w:szCs w:val="20"/>
        </w:rPr>
      </w:pPr>
      <w:r w:rsidRPr="00CD2A61">
        <w:rPr>
          <w:rFonts w:cstheme="minorHAnsi"/>
          <w:b/>
          <w:sz w:val="20"/>
          <w:szCs w:val="20"/>
        </w:rPr>
        <w:t>Rozdelenie stavby na PÚ</w:t>
      </w:r>
    </w:p>
    <w:p w14:paraId="4C87C884" w14:textId="77777777" w:rsidR="004210C8" w:rsidRPr="00CD2A61" w:rsidRDefault="004210C8" w:rsidP="004C2CCB">
      <w:pPr>
        <w:pStyle w:val="Listaszerbekezds"/>
        <w:spacing w:after="0"/>
        <w:ind w:left="792"/>
        <w:jc w:val="both"/>
        <w:rPr>
          <w:rFonts w:cstheme="minorHAnsi"/>
          <w:sz w:val="20"/>
          <w:szCs w:val="20"/>
        </w:rPr>
      </w:pPr>
    </w:p>
    <w:p w14:paraId="4C87C886" w14:textId="1B269CD6" w:rsidR="00AD41EF" w:rsidRPr="00CD2A61" w:rsidRDefault="009B3ABC" w:rsidP="00210135">
      <w:pPr>
        <w:pStyle w:val="Listaszerbekezds"/>
        <w:spacing w:after="0" w:line="240" w:lineRule="auto"/>
        <w:ind w:left="0" w:firstLine="567"/>
        <w:jc w:val="both"/>
        <w:rPr>
          <w:rFonts w:cstheme="minorHAnsi"/>
          <w:sz w:val="20"/>
          <w:szCs w:val="20"/>
        </w:rPr>
      </w:pPr>
      <w:r w:rsidRPr="00CD2A61">
        <w:rPr>
          <w:rFonts w:cstheme="minorHAnsi"/>
          <w:sz w:val="20"/>
          <w:szCs w:val="20"/>
        </w:rPr>
        <w:t xml:space="preserve">Projektovaná stavba podľa § 3 </w:t>
      </w:r>
      <w:r w:rsidR="00210135" w:rsidRPr="00CD2A61">
        <w:rPr>
          <w:rFonts w:cstheme="minorHAnsi"/>
          <w:sz w:val="20"/>
          <w:szCs w:val="20"/>
        </w:rPr>
        <w:t xml:space="preserve">bude tvoriť jeden samostatný PÚ </w:t>
      </w:r>
      <w:r w:rsidR="004210C8" w:rsidRPr="00CD2A61">
        <w:rPr>
          <w:rFonts w:cstheme="minorHAnsi"/>
          <w:sz w:val="20"/>
          <w:szCs w:val="20"/>
        </w:rPr>
        <w:t>N 1.</w:t>
      </w:r>
      <w:r w:rsidR="00962715" w:rsidRPr="00CD2A61">
        <w:rPr>
          <w:rFonts w:cstheme="minorHAnsi"/>
          <w:sz w:val="20"/>
          <w:szCs w:val="20"/>
        </w:rPr>
        <w:t>0</w:t>
      </w:r>
      <w:r w:rsidR="004210C8" w:rsidRPr="00CD2A61">
        <w:rPr>
          <w:rFonts w:cstheme="minorHAnsi"/>
          <w:sz w:val="20"/>
          <w:szCs w:val="20"/>
        </w:rPr>
        <w:t>1</w:t>
      </w:r>
    </w:p>
    <w:p w14:paraId="61662656" w14:textId="29614D3D" w:rsidR="004C2CCB" w:rsidRPr="00CD2A61" w:rsidRDefault="004C2CCB" w:rsidP="004C2CCB">
      <w:pPr>
        <w:spacing w:after="0"/>
        <w:ind w:left="851"/>
        <w:jc w:val="both"/>
        <w:outlineLvl w:val="0"/>
        <w:rPr>
          <w:rFonts w:cstheme="minorHAnsi"/>
          <w:color w:val="FF0000"/>
          <w:sz w:val="20"/>
          <w:szCs w:val="20"/>
        </w:rPr>
      </w:pPr>
      <w:bookmarkStart w:id="1" w:name="_Hlk74669524"/>
    </w:p>
    <w:tbl>
      <w:tblPr>
        <w:tblStyle w:val="Tblzatrcsos1vilgos5jellszn"/>
        <w:tblW w:w="0" w:type="auto"/>
        <w:tblInd w:w="137" w:type="dxa"/>
        <w:tblLook w:val="04A0" w:firstRow="1" w:lastRow="0" w:firstColumn="1" w:lastColumn="0" w:noHBand="0" w:noVBand="1"/>
      </w:tblPr>
      <w:tblGrid>
        <w:gridCol w:w="1984"/>
        <w:gridCol w:w="2552"/>
        <w:gridCol w:w="1985"/>
      </w:tblGrid>
      <w:tr w:rsidR="00470FF2" w:rsidRPr="00CD2A61" w14:paraId="0D9E698C" w14:textId="77777777" w:rsidTr="00962715">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984" w:type="dxa"/>
            <w:vAlign w:val="center"/>
          </w:tcPr>
          <w:p w14:paraId="5D7251AB" w14:textId="60F482BA" w:rsidR="003B4CE9" w:rsidRPr="00923AE6" w:rsidRDefault="003B4CE9" w:rsidP="00470FF2">
            <w:pPr>
              <w:jc w:val="center"/>
              <w:outlineLvl w:val="0"/>
              <w:rPr>
                <w:rFonts w:cstheme="minorHAnsi"/>
                <w:szCs w:val="18"/>
              </w:rPr>
            </w:pPr>
            <w:r w:rsidRPr="00923AE6">
              <w:rPr>
                <w:rFonts w:cstheme="minorHAnsi"/>
                <w:szCs w:val="18"/>
              </w:rPr>
              <w:t>Číslo miestnosti</w:t>
            </w:r>
          </w:p>
        </w:tc>
        <w:tc>
          <w:tcPr>
            <w:tcW w:w="2552" w:type="dxa"/>
            <w:vAlign w:val="center"/>
          </w:tcPr>
          <w:p w14:paraId="05B3F3A0" w14:textId="6B638529" w:rsidR="003B4CE9" w:rsidRPr="00923AE6" w:rsidRDefault="003B4CE9" w:rsidP="004C2CCB">
            <w:pPr>
              <w:jc w:val="center"/>
              <w:outlineLvl w:val="0"/>
              <w:cnfStyle w:val="100000000000" w:firstRow="1" w:lastRow="0" w:firstColumn="0" w:lastColumn="0" w:oddVBand="0" w:evenVBand="0" w:oddHBand="0" w:evenHBand="0" w:firstRowFirstColumn="0" w:firstRowLastColumn="0" w:lastRowFirstColumn="0" w:lastRowLastColumn="0"/>
              <w:rPr>
                <w:rFonts w:cstheme="minorHAnsi"/>
                <w:szCs w:val="18"/>
              </w:rPr>
            </w:pPr>
            <w:r w:rsidRPr="00923AE6">
              <w:rPr>
                <w:rFonts w:cstheme="minorHAnsi"/>
                <w:szCs w:val="18"/>
              </w:rPr>
              <w:t>Názov miestnosti</w:t>
            </w:r>
          </w:p>
        </w:tc>
        <w:tc>
          <w:tcPr>
            <w:tcW w:w="1985" w:type="dxa"/>
            <w:vAlign w:val="center"/>
          </w:tcPr>
          <w:p w14:paraId="6396072E" w14:textId="6B8132A5" w:rsidR="003B4CE9" w:rsidRPr="00923AE6" w:rsidRDefault="003B4CE9" w:rsidP="00470FF2">
            <w:pPr>
              <w:jc w:val="center"/>
              <w:outlineLvl w:val="0"/>
              <w:cnfStyle w:val="100000000000" w:firstRow="1" w:lastRow="0" w:firstColumn="0" w:lastColumn="0" w:oddVBand="0" w:evenVBand="0" w:oddHBand="0" w:evenHBand="0" w:firstRowFirstColumn="0" w:firstRowLastColumn="0" w:lastRowFirstColumn="0" w:lastRowLastColumn="0"/>
              <w:rPr>
                <w:rFonts w:cstheme="minorHAnsi"/>
                <w:szCs w:val="18"/>
              </w:rPr>
            </w:pPr>
            <w:r w:rsidRPr="00923AE6">
              <w:rPr>
                <w:rFonts w:cstheme="minorHAnsi"/>
                <w:szCs w:val="18"/>
              </w:rPr>
              <w:t>Plocha miestnosti (m</w:t>
            </w:r>
            <w:r w:rsidRPr="00923AE6">
              <w:rPr>
                <w:rFonts w:cstheme="minorHAnsi"/>
                <w:szCs w:val="18"/>
                <w:vertAlign w:val="superscript"/>
              </w:rPr>
              <w:t>2</w:t>
            </w:r>
            <w:r w:rsidRPr="00923AE6">
              <w:rPr>
                <w:rFonts w:cstheme="minorHAnsi"/>
                <w:szCs w:val="18"/>
              </w:rPr>
              <w:t>)</w:t>
            </w:r>
          </w:p>
        </w:tc>
      </w:tr>
      <w:tr w:rsidR="00470FF2" w:rsidRPr="00CD2A61" w14:paraId="352571D9" w14:textId="77777777" w:rsidTr="00962715">
        <w:trPr>
          <w:trHeight w:val="347"/>
        </w:trPr>
        <w:tc>
          <w:tcPr>
            <w:cnfStyle w:val="001000000000" w:firstRow="0" w:lastRow="0" w:firstColumn="1" w:lastColumn="0" w:oddVBand="0" w:evenVBand="0" w:oddHBand="0" w:evenHBand="0" w:firstRowFirstColumn="0" w:firstRowLastColumn="0" w:lastRowFirstColumn="0" w:lastRowLastColumn="0"/>
            <w:tcW w:w="1984" w:type="dxa"/>
            <w:vAlign w:val="center"/>
          </w:tcPr>
          <w:p w14:paraId="68DE03D6" w14:textId="1CC2A68E" w:rsidR="00470FF2" w:rsidRPr="00923AE6" w:rsidRDefault="00470FF2" w:rsidP="00923AE6">
            <w:pPr>
              <w:ind w:left="851"/>
              <w:outlineLvl w:val="0"/>
              <w:rPr>
                <w:rFonts w:cstheme="minorHAnsi"/>
                <w:b w:val="0"/>
                <w:szCs w:val="18"/>
              </w:rPr>
            </w:pPr>
            <w:r w:rsidRPr="00923AE6">
              <w:rPr>
                <w:rFonts w:cstheme="minorHAnsi"/>
                <w:b w:val="0"/>
                <w:szCs w:val="18"/>
              </w:rPr>
              <w:t>101</w:t>
            </w:r>
          </w:p>
        </w:tc>
        <w:tc>
          <w:tcPr>
            <w:tcW w:w="2552" w:type="dxa"/>
            <w:vAlign w:val="center"/>
          </w:tcPr>
          <w:p w14:paraId="284622CD" w14:textId="67AD399B" w:rsidR="00470FF2" w:rsidRPr="00923AE6" w:rsidRDefault="00210135" w:rsidP="00470FF2">
            <w:pPr>
              <w:jc w:val="center"/>
              <w:outlineLvl w:val="0"/>
              <w:cnfStyle w:val="000000000000" w:firstRow="0" w:lastRow="0" w:firstColumn="0" w:lastColumn="0" w:oddVBand="0" w:evenVBand="0" w:oddHBand="0" w:evenHBand="0" w:firstRowFirstColumn="0" w:firstRowLastColumn="0" w:lastRowFirstColumn="0" w:lastRowLastColumn="0"/>
              <w:rPr>
                <w:rFonts w:cstheme="minorHAnsi"/>
                <w:bCs/>
                <w:szCs w:val="18"/>
              </w:rPr>
            </w:pPr>
            <w:r w:rsidRPr="00923AE6">
              <w:rPr>
                <w:rFonts w:cstheme="minorHAnsi"/>
                <w:bCs/>
                <w:szCs w:val="18"/>
              </w:rPr>
              <w:t>SKLAD</w:t>
            </w:r>
            <w:r w:rsidR="0057114A">
              <w:rPr>
                <w:rFonts w:cstheme="minorHAnsi"/>
                <w:bCs/>
                <w:szCs w:val="18"/>
              </w:rPr>
              <w:t>OVÁ HALA</w:t>
            </w:r>
          </w:p>
        </w:tc>
        <w:tc>
          <w:tcPr>
            <w:tcW w:w="1985" w:type="dxa"/>
            <w:vAlign w:val="center"/>
          </w:tcPr>
          <w:p w14:paraId="25B1E831" w14:textId="43B41EB0" w:rsidR="00470FF2" w:rsidRPr="00923AE6" w:rsidRDefault="0057114A" w:rsidP="00470FF2">
            <w:pPr>
              <w:jc w:val="center"/>
              <w:outlineLvl w:val="0"/>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bCs/>
                <w:szCs w:val="18"/>
              </w:rPr>
              <w:t>1367</w:t>
            </w:r>
            <w:r w:rsidR="00210135" w:rsidRPr="00923AE6">
              <w:rPr>
                <w:rFonts w:cstheme="minorHAnsi"/>
                <w:bCs/>
                <w:szCs w:val="18"/>
              </w:rPr>
              <w:t>,00</w:t>
            </w:r>
          </w:p>
        </w:tc>
      </w:tr>
      <w:bookmarkEnd w:id="1"/>
    </w:tbl>
    <w:p w14:paraId="4C87C888" w14:textId="700A27F1" w:rsidR="0049724E" w:rsidRDefault="0049724E" w:rsidP="0037684F">
      <w:pPr>
        <w:spacing w:after="0"/>
        <w:jc w:val="both"/>
        <w:outlineLvl w:val="0"/>
        <w:rPr>
          <w:rFonts w:cstheme="minorHAnsi"/>
          <w:sz w:val="20"/>
          <w:szCs w:val="20"/>
        </w:rPr>
      </w:pPr>
    </w:p>
    <w:p w14:paraId="50AB38DE" w14:textId="70836E45" w:rsidR="0057114A" w:rsidRDefault="0057114A" w:rsidP="0037684F">
      <w:pPr>
        <w:spacing w:after="0"/>
        <w:jc w:val="both"/>
        <w:outlineLvl w:val="0"/>
        <w:rPr>
          <w:rFonts w:cstheme="minorHAnsi"/>
          <w:sz w:val="20"/>
          <w:szCs w:val="20"/>
        </w:rPr>
      </w:pPr>
    </w:p>
    <w:p w14:paraId="7D2A513D" w14:textId="77777777" w:rsidR="0057114A" w:rsidRPr="00CD2A61" w:rsidRDefault="0057114A" w:rsidP="0037684F">
      <w:pPr>
        <w:spacing w:after="0"/>
        <w:jc w:val="both"/>
        <w:outlineLvl w:val="0"/>
        <w:rPr>
          <w:rFonts w:cstheme="minorHAnsi"/>
          <w:sz w:val="20"/>
          <w:szCs w:val="20"/>
        </w:rPr>
      </w:pPr>
    </w:p>
    <w:p w14:paraId="4C87C889" w14:textId="77777777" w:rsidR="00D762FA" w:rsidRPr="00CD2A61" w:rsidRDefault="00D762FA" w:rsidP="004C2CCB">
      <w:pPr>
        <w:pStyle w:val="Listaszerbekezds"/>
        <w:numPr>
          <w:ilvl w:val="1"/>
          <w:numId w:val="7"/>
        </w:numPr>
        <w:spacing w:after="0"/>
        <w:ind w:left="1134" w:hanging="567"/>
        <w:jc w:val="both"/>
        <w:rPr>
          <w:rFonts w:cstheme="minorHAnsi"/>
          <w:b/>
          <w:sz w:val="20"/>
          <w:szCs w:val="20"/>
        </w:rPr>
      </w:pPr>
      <w:r w:rsidRPr="00CD2A61">
        <w:rPr>
          <w:rFonts w:cstheme="minorHAnsi"/>
          <w:b/>
          <w:sz w:val="20"/>
          <w:szCs w:val="20"/>
        </w:rPr>
        <w:lastRenderedPageBreak/>
        <w:t>Požiarne riziko</w:t>
      </w:r>
    </w:p>
    <w:p w14:paraId="4C87C88A" w14:textId="77777777" w:rsidR="00196F64" w:rsidRPr="00CD2A61" w:rsidRDefault="00196F64" w:rsidP="004C2CCB">
      <w:pPr>
        <w:pStyle w:val="Listaszerbekezds"/>
        <w:spacing w:after="0"/>
        <w:ind w:left="792"/>
        <w:jc w:val="both"/>
        <w:rPr>
          <w:rFonts w:cstheme="minorHAnsi"/>
          <w:b/>
          <w:sz w:val="20"/>
          <w:szCs w:val="20"/>
        </w:rPr>
      </w:pPr>
    </w:p>
    <w:p w14:paraId="411A848D" w14:textId="32D6D314" w:rsidR="00B126FC" w:rsidRPr="00CD2A61" w:rsidRDefault="009B3ABC" w:rsidP="00962715">
      <w:pPr>
        <w:pStyle w:val="Listaszerbekezds"/>
        <w:spacing w:after="0" w:line="240" w:lineRule="auto"/>
        <w:ind w:left="0" w:firstLine="567"/>
        <w:jc w:val="both"/>
        <w:rPr>
          <w:rFonts w:cstheme="minorHAnsi"/>
          <w:sz w:val="20"/>
          <w:szCs w:val="20"/>
        </w:rPr>
      </w:pPr>
      <w:r w:rsidRPr="00CD2A61">
        <w:rPr>
          <w:rFonts w:cstheme="minorHAnsi"/>
          <w:sz w:val="20"/>
          <w:szCs w:val="20"/>
        </w:rPr>
        <w:t xml:space="preserve">Požiarne riziko skladovej haly je hodnotené </w:t>
      </w:r>
      <w:r w:rsidR="00962715" w:rsidRPr="00CD2A61">
        <w:rPr>
          <w:rFonts w:cstheme="minorHAnsi"/>
          <w:sz w:val="20"/>
          <w:szCs w:val="20"/>
        </w:rPr>
        <w:t>podľa vyhl. §21 a §1, ods.(1) j), a 3.6. STN 920201–1 – podľa pravdepodobného času trvania požiaru:</w:t>
      </w:r>
      <w:r w:rsidR="00B126FC" w:rsidRPr="00CD2A61">
        <w:rPr>
          <w:rFonts w:cstheme="minorHAnsi"/>
          <w:sz w:val="20"/>
          <w:szCs w:val="20"/>
        </w:rPr>
        <w:t xml:space="preserve"> </w:t>
      </w:r>
    </w:p>
    <w:p w14:paraId="766C7C21" w14:textId="77777777" w:rsidR="00962715" w:rsidRPr="00CD2A61" w:rsidRDefault="00962715" w:rsidP="00962715">
      <w:pPr>
        <w:pStyle w:val="Listaszerbekezds"/>
        <w:spacing w:after="0" w:line="240" w:lineRule="auto"/>
        <w:ind w:left="0" w:firstLine="567"/>
        <w:jc w:val="both"/>
        <w:rPr>
          <w:rFonts w:cstheme="minorHAnsi"/>
          <w:sz w:val="20"/>
          <w:szCs w:val="20"/>
        </w:rPr>
      </w:pPr>
    </w:p>
    <w:p w14:paraId="315BFE6C" w14:textId="16852C8D" w:rsidR="00B126FC" w:rsidRPr="00CD2A61" w:rsidRDefault="00B126FC" w:rsidP="00962715">
      <w:pPr>
        <w:tabs>
          <w:tab w:val="left" w:pos="426"/>
        </w:tabs>
        <w:suppressAutoHyphens/>
        <w:spacing w:after="0" w:line="240" w:lineRule="auto"/>
        <w:jc w:val="both"/>
        <w:rPr>
          <w:sz w:val="20"/>
          <w:szCs w:val="20"/>
          <w:lang w:val="cs-CZ" w:eastAsia="ar-SA"/>
        </w:rPr>
      </w:pPr>
      <w:r w:rsidRPr="00CD2A61">
        <w:rPr>
          <w:sz w:val="20"/>
          <w:szCs w:val="20"/>
          <w:lang w:val="cs-CZ" w:eastAsia="ar-SA"/>
        </w:rPr>
        <w:t>_        0,8 x p</w:t>
      </w:r>
      <w:r w:rsidRPr="00CD2A61">
        <w:rPr>
          <w:rFonts w:cs="Arial"/>
          <w:sz w:val="20"/>
          <w:szCs w:val="20"/>
          <w:lang w:val="cs-CZ" w:eastAsia="ar-SA"/>
        </w:rPr>
        <w:t>̅ x k</w:t>
      </w:r>
      <w:r w:rsidRPr="00CD2A61">
        <w:rPr>
          <w:rFonts w:cs="Arial"/>
          <w:sz w:val="20"/>
          <w:szCs w:val="20"/>
          <w:vertAlign w:val="subscript"/>
          <w:lang w:val="cs-CZ" w:eastAsia="ar-SA"/>
        </w:rPr>
        <w:t>1</w:t>
      </w:r>
      <w:r w:rsidRPr="00CD2A61">
        <w:rPr>
          <w:rFonts w:cs="Arial"/>
          <w:sz w:val="20"/>
          <w:szCs w:val="20"/>
          <w:lang w:val="cs-CZ" w:eastAsia="ar-SA"/>
        </w:rPr>
        <w:t xml:space="preserve">       </w:t>
      </w:r>
    </w:p>
    <w:p w14:paraId="313C4FF9" w14:textId="77777777" w:rsidR="00B126FC" w:rsidRPr="00CD2A61" w:rsidRDefault="00B126FC" w:rsidP="00962715">
      <w:pPr>
        <w:tabs>
          <w:tab w:val="left" w:pos="426"/>
        </w:tabs>
        <w:suppressAutoHyphens/>
        <w:spacing w:after="0" w:line="240" w:lineRule="auto"/>
        <w:jc w:val="both"/>
        <w:rPr>
          <w:sz w:val="20"/>
          <w:szCs w:val="20"/>
          <w:lang w:val="cs-CZ" w:eastAsia="ar-SA"/>
        </w:rPr>
      </w:pPr>
      <w:bookmarkStart w:id="2" w:name="_Hlk132831116"/>
      <w:r w:rsidRPr="00CD2A61">
        <w:rPr>
          <w:rFonts w:cs="Arial"/>
          <w:sz w:val="20"/>
          <w:szCs w:val="20"/>
          <w:lang w:val="cs-CZ" w:eastAsia="ar-SA"/>
        </w:rPr>
        <w:t>ԏ</w:t>
      </w:r>
      <w:bookmarkEnd w:id="2"/>
      <w:r w:rsidRPr="00CD2A61">
        <w:rPr>
          <w:sz w:val="20"/>
          <w:szCs w:val="20"/>
          <w:lang w:val="cs-CZ" w:eastAsia="ar-SA"/>
        </w:rPr>
        <w:t xml:space="preserve"> = ------------------ </w:t>
      </w:r>
    </w:p>
    <w:p w14:paraId="281F57F1" w14:textId="77777777" w:rsidR="00962715" w:rsidRPr="00CD2A61" w:rsidRDefault="00B126FC" w:rsidP="00962715">
      <w:pPr>
        <w:tabs>
          <w:tab w:val="left" w:pos="426"/>
        </w:tabs>
        <w:suppressAutoHyphens/>
        <w:spacing w:after="0"/>
        <w:jc w:val="both"/>
        <w:rPr>
          <w:sz w:val="20"/>
          <w:szCs w:val="20"/>
          <w:lang w:val="cs-CZ" w:eastAsia="ar-SA"/>
        </w:rPr>
      </w:pPr>
      <w:r w:rsidRPr="00CD2A61">
        <w:rPr>
          <w:sz w:val="20"/>
          <w:szCs w:val="20"/>
          <w:lang w:val="cs-CZ" w:eastAsia="ar-SA"/>
        </w:rPr>
        <w:t xml:space="preserve">                  v</w:t>
      </w:r>
      <w:r w:rsidRPr="00CD2A61">
        <w:rPr>
          <w:sz w:val="20"/>
          <w:szCs w:val="20"/>
          <w:vertAlign w:val="subscript"/>
          <w:lang w:val="cs-CZ" w:eastAsia="ar-SA"/>
        </w:rPr>
        <w:t>v</w:t>
      </w:r>
      <w:r w:rsidRPr="00CD2A61">
        <w:rPr>
          <w:sz w:val="20"/>
          <w:szCs w:val="20"/>
          <w:vertAlign w:val="superscript"/>
          <w:lang w:val="cs-CZ" w:eastAsia="ar-SA"/>
        </w:rPr>
        <w:t xml:space="preserve"> </w:t>
      </w:r>
      <w:r w:rsidRPr="00CD2A61">
        <w:rPr>
          <w:sz w:val="20"/>
          <w:szCs w:val="20"/>
          <w:lang w:val="cs-CZ" w:eastAsia="ar-SA"/>
        </w:rPr>
        <w:t xml:space="preserve">    </w:t>
      </w:r>
    </w:p>
    <w:p w14:paraId="34B6250A" w14:textId="77777777" w:rsidR="00962715" w:rsidRPr="00CD2A61" w:rsidRDefault="00962715" w:rsidP="00962715">
      <w:pPr>
        <w:tabs>
          <w:tab w:val="left" w:pos="426"/>
        </w:tabs>
        <w:suppressAutoHyphens/>
        <w:spacing w:after="0"/>
        <w:jc w:val="both"/>
        <w:rPr>
          <w:sz w:val="20"/>
          <w:szCs w:val="20"/>
          <w:lang w:val="cs-CZ" w:eastAsia="ar-SA"/>
        </w:rPr>
      </w:pPr>
      <w:r w:rsidRPr="00CD2A61">
        <w:rPr>
          <w:sz w:val="20"/>
          <w:szCs w:val="20"/>
          <w:lang w:val="cs-CZ" w:eastAsia="ar-SA"/>
        </w:rPr>
        <w:t>_</w:t>
      </w:r>
      <w:r w:rsidR="00B126FC" w:rsidRPr="00CD2A61">
        <w:rPr>
          <w:sz w:val="20"/>
          <w:szCs w:val="20"/>
          <w:lang w:val="cs-CZ" w:eastAsia="ar-SA"/>
        </w:rPr>
        <w:t xml:space="preserve">   </w:t>
      </w:r>
    </w:p>
    <w:p w14:paraId="225E617B" w14:textId="1D229DAB" w:rsidR="00B126FC" w:rsidRPr="00CD2A61" w:rsidRDefault="003B5F0C" w:rsidP="00962715">
      <w:pPr>
        <w:tabs>
          <w:tab w:val="left" w:pos="426"/>
        </w:tabs>
        <w:suppressAutoHyphens/>
        <w:spacing w:after="0"/>
        <w:jc w:val="both"/>
        <w:rPr>
          <w:sz w:val="20"/>
          <w:szCs w:val="20"/>
          <w:lang w:val="cs-CZ" w:eastAsia="ar-SA"/>
        </w:rPr>
      </w:pPr>
      <w:r w:rsidRPr="00CD2A61">
        <w:rPr>
          <w:rFonts w:cs="Arial"/>
          <w:sz w:val="20"/>
          <w:szCs w:val="20"/>
          <w:lang w:val="cs-CZ" w:eastAsia="ar-SA"/>
        </w:rPr>
        <w:t>ԏ</w:t>
      </w:r>
      <w:r w:rsidR="00B126FC" w:rsidRPr="00CD2A61">
        <w:rPr>
          <w:sz w:val="20"/>
          <w:szCs w:val="20"/>
          <w:vertAlign w:val="subscript"/>
          <w:lang w:val="cs-CZ" w:eastAsia="ar-SA"/>
        </w:rPr>
        <w:t xml:space="preserve"> </w:t>
      </w:r>
      <w:r w:rsidR="00B126FC" w:rsidRPr="00CD2A61">
        <w:rPr>
          <w:sz w:val="20"/>
          <w:szCs w:val="20"/>
          <w:lang w:val="cs-CZ" w:eastAsia="ar-SA"/>
        </w:rPr>
        <w:t xml:space="preserve">    pravdepodobný čas trvania požiaru v min</w:t>
      </w:r>
    </w:p>
    <w:p w14:paraId="19CE7A83" w14:textId="5D810410" w:rsidR="00B126FC" w:rsidRPr="00CD2A61" w:rsidRDefault="003B5F0C" w:rsidP="00962715">
      <w:pPr>
        <w:tabs>
          <w:tab w:val="left" w:pos="426"/>
        </w:tabs>
        <w:suppressAutoHyphens/>
        <w:spacing w:after="0"/>
        <w:jc w:val="both"/>
        <w:rPr>
          <w:rFonts w:cs="Arial"/>
          <w:sz w:val="20"/>
          <w:szCs w:val="20"/>
          <w:vertAlign w:val="superscript"/>
          <w:lang w:val="cs-CZ" w:eastAsia="ar-SA"/>
        </w:rPr>
      </w:pPr>
      <w:r w:rsidRPr="00CD2A61">
        <w:rPr>
          <w:sz w:val="20"/>
          <w:szCs w:val="20"/>
          <w:lang w:val="cs-CZ" w:eastAsia="ar-SA"/>
        </w:rPr>
        <w:t>p</w:t>
      </w:r>
      <w:r w:rsidRPr="00CD2A61">
        <w:rPr>
          <w:rFonts w:cs="Arial"/>
          <w:sz w:val="20"/>
          <w:szCs w:val="20"/>
          <w:lang w:val="cs-CZ" w:eastAsia="ar-SA"/>
        </w:rPr>
        <w:t>̅</w:t>
      </w:r>
      <w:r w:rsidR="00B126FC" w:rsidRPr="00CD2A61">
        <w:rPr>
          <w:rFonts w:cs="Arial"/>
          <w:sz w:val="20"/>
          <w:szCs w:val="20"/>
          <w:lang w:val="cs-CZ" w:eastAsia="ar-SA"/>
        </w:rPr>
        <w:t xml:space="preserve">      priemerné požiarne zaťaženie v kg/m</w:t>
      </w:r>
      <w:r w:rsidR="00B126FC" w:rsidRPr="00CD2A61">
        <w:rPr>
          <w:rFonts w:cs="Arial"/>
          <w:sz w:val="20"/>
          <w:szCs w:val="20"/>
          <w:vertAlign w:val="superscript"/>
          <w:lang w:val="cs-CZ" w:eastAsia="ar-SA"/>
        </w:rPr>
        <w:t>2</w:t>
      </w:r>
    </w:p>
    <w:p w14:paraId="213EAA5D" w14:textId="77777777" w:rsidR="00B126FC" w:rsidRPr="00CD2A61" w:rsidRDefault="00B126FC" w:rsidP="00962715">
      <w:pPr>
        <w:tabs>
          <w:tab w:val="left" w:pos="426"/>
        </w:tabs>
        <w:suppressAutoHyphens/>
        <w:spacing w:after="0"/>
        <w:jc w:val="both"/>
        <w:rPr>
          <w:sz w:val="20"/>
          <w:szCs w:val="20"/>
          <w:lang w:val="cs-CZ" w:eastAsia="ar-SA"/>
        </w:rPr>
      </w:pPr>
      <w:r w:rsidRPr="00CD2A61">
        <w:rPr>
          <w:sz w:val="20"/>
          <w:szCs w:val="20"/>
          <w:lang w:val="cs-CZ" w:eastAsia="ar-SA"/>
        </w:rPr>
        <w:t>k</w:t>
      </w:r>
      <w:r w:rsidRPr="00CD2A61">
        <w:rPr>
          <w:sz w:val="20"/>
          <w:szCs w:val="20"/>
          <w:vertAlign w:val="subscript"/>
          <w:lang w:val="cs-CZ" w:eastAsia="ar-SA"/>
        </w:rPr>
        <w:t xml:space="preserve">1  </w:t>
      </w:r>
      <w:r w:rsidRPr="00CD2A61">
        <w:rPr>
          <w:sz w:val="20"/>
          <w:szCs w:val="20"/>
          <w:lang w:val="cs-CZ" w:eastAsia="ar-SA"/>
        </w:rPr>
        <w:t xml:space="preserve">   súčiniteľ výhrevnosti bez rozmeru</w:t>
      </w:r>
    </w:p>
    <w:p w14:paraId="7C1A8327" w14:textId="77777777" w:rsidR="00B126FC" w:rsidRPr="00CD2A61" w:rsidRDefault="00B126FC" w:rsidP="00962715">
      <w:pPr>
        <w:tabs>
          <w:tab w:val="left" w:pos="426"/>
        </w:tabs>
        <w:suppressAutoHyphens/>
        <w:spacing w:after="0"/>
        <w:jc w:val="both"/>
        <w:rPr>
          <w:sz w:val="20"/>
          <w:szCs w:val="20"/>
          <w:lang w:val="cs-CZ" w:eastAsia="ar-SA"/>
        </w:rPr>
      </w:pPr>
      <w:r w:rsidRPr="00CD2A61">
        <w:rPr>
          <w:sz w:val="20"/>
          <w:szCs w:val="20"/>
          <w:lang w:val="cs-CZ" w:eastAsia="ar-SA"/>
        </w:rPr>
        <w:t>v</w:t>
      </w:r>
      <w:r w:rsidRPr="00CD2A61">
        <w:rPr>
          <w:sz w:val="20"/>
          <w:szCs w:val="20"/>
          <w:vertAlign w:val="subscript"/>
          <w:lang w:val="cs-CZ" w:eastAsia="ar-SA"/>
        </w:rPr>
        <w:t xml:space="preserve">v     </w:t>
      </w:r>
      <w:r w:rsidRPr="00CD2A61">
        <w:rPr>
          <w:sz w:val="20"/>
          <w:szCs w:val="20"/>
          <w:lang w:val="cs-CZ" w:eastAsia="ar-SA"/>
        </w:rPr>
        <w:t>rýchlosť odhorievania látok v kg.m</w:t>
      </w:r>
      <w:r w:rsidRPr="00CD2A61">
        <w:rPr>
          <w:sz w:val="20"/>
          <w:szCs w:val="20"/>
          <w:vertAlign w:val="superscript"/>
          <w:lang w:val="cs-CZ" w:eastAsia="ar-SA"/>
        </w:rPr>
        <w:t>-2</w:t>
      </w:r>
      <w:r w:rsidRPr="00CD2A61">
        <w:rPr>
          <w:sz w:val="20"/>
          <w:szCs w:val="20"/>
          <w:lang w:val="cs-CZ" w:eastAsia="ar-SA"/>
        </w:rPr>
        <w:t>.min</w:t>
      </w:r>
      <w:r w:rsidRPr="00CD2A61">
        <w:rPr>
          <w:sz w:val="20"/>
          <w:szCs w:val="20"/>
          <w:vertAlign w:val="superscript"/>
          <w:lang w:val="cs-CZ" w:eastAsia="ar-SA"/>
        </w:rPr>
        <w:t xml:space="preserve">-1 </w:t>
      </w:r>
      <w:r w:rsidRPr="00CD2A61">
        <w:rPr>
          <w:sz w:val="20"/>
          <w:szCs w:val="20"/>
          <w:lang w:val="cs-CZ" w:eastAsia="ar-SA"/>
        </w:rPr>
        <w:t>pre požiar riadený odvetraním</w:t>
      </w:r>
    </w:p>
    <w:p w14:paraId="2026796A" w14:textId="77777777" w:rsidR="00B126FC" w:rsidRPr="00CD2A61" w:rsidRDefault="00B126FC" w:rsidP="00962715">
      <w:pPr>
        <w:tabs>
          <w:tab w:val="left" w:pos="426"/>
        </w:tabs>
        <w:suppressAutoHyphens/>
        <w:spacing w:after="0"/>
        <w:jc w:val="both"/>
        <w:rPr>
          <w:sz w:val="20"/>
          <w:szCs w:val="20"/>
          <w:lang w:val="cs-CZ" w:eastAsia="ar-SA"/>
        </w:rPr>
      </w:pPr>
      <w:r w:rsidRPr="00CD2A61">
        <w:rPr>
          <w:sz w:val="20"/>
          <w:szCs w:val="20"/>
          <w:lang w:val="cs-CZ" w:eastAsia="ar-SA"/>
        </w:rPr>
        <w:t>p</w:t>
      </w:r>
      <w:r w:rsidRPr="00CD2A61">
        <w:rPr>
          <w:sz w:val="20"/>
          <w:szCs w:val="20"/>
          <w:vertAlign w:val="subscript"/>
          <w:lang w:val="cs-CZ" w:eastAsia="ar-SA"/>
        </w:rPr>
        <w:t xml:space="preserve">n   </w:t>
      </w:r>
      <w:r w:rsidRPr="00CD2A61">
        <w:rPr>
          <w:sz w:val="20"/>
          <w:szCs w:val="20"/>
          <w:lang w:val="cs-CZ" w:eastAsia="ar-SA"/>
        </w:rPr>
        <w:t xml:space="preserve">   náhodné požiarne</w:t>
      </w:r>
      <w:r w:rsidRPr="00CD2A61">
        <w:rPr>
          <w:rFonts w:cs="Arial"/>
          <w:sz w:val="20"/>
          <w:szCs w:val="20"/>
          <w:lang w:val="cs-CZ" w:eastAsia="ar-SA"/>
        </w:rPr>
        <w:t xml:space="preserve"> zaťaženie v kg/m</w:t>
      </w:r>
      <w:r w:rsidRPr="00CD2A61">
        <w:rPr>
          <w:rFonts w:cs="Arial"/>
          <w:sz w:val="20"/>
          <w:szCs w:val="20"/>
          <w:vertAlign w:val="superscript"/>
          <w:lang w:val="cs-CZ" w:eastAsia="ar-SA"/>
        </w:rPr>
        <w:t>2</w:t>
      </w:r>
    </w:p>
    <w:p w14:paraId="7F0C8FED" w14:textId="77777777" w:rsidR="00B126FC" w:rsidRPr="00CD2A61" w:rsidRDefault="00B126FC" w:rsidP="00962715">
      <w:pPr>
        <w:tabs>
          <w:tab w:val="left" w:pos="426"/>
        </w:tabs>
        <w:suppressAutoHyphens/>
        <w:spacing w:after="0"/>
        <w:jc w:val="both"/>
        <w:rPr>
          <w:sz w:val="20"/>
          <w:szCs w:val="20"/>
          <w:lang w:val="cs-CZ" w:eastAsia="ar-SA"/>
        </w:rPr>
      </w:pPr>
      <w:r w:rsidRPr="00CD2A61">
        <w:rPr>
          <w:sz w:val="20"/>
          <w:szCs w:val="20"/>
          <w:lang w:val="cs-CZ" w:eastAsia="ar-SA"/>
        </w:rPr>
        <w:t>p</w:t>
      </w:r>
      <w:r w:rsidRPr="00CD2A61">
        <w:rPr>
          <w:sz w:val="20"/>
          <w:szCs w:val="20"/>
          <w:vertAlign w:val="subscript"/>
          <w:lang w:val="cs-CZ" w:eastAsia="ar-SA"/>
        </w:rPr>
        <w:t xml:space="preserve">s   </w:t>
      </w:r>
      <w:r w:rsidRPr="00CD2A61">
        <w:rPr>
          <w:sz w:val="20"/>
          <w:szCs w:val="20"/>
          <w:lang w:val="cs-CZ" w:eastAsia="ar-SA"/>
        </w:rPr>
        <w:t xml:space="preserve">   stále požiarne</w:t>
      </w:r>
      <w:r w:rsidRPr="00CD2A61">
        <w:rPr>
          <w:rFonts w:cs="Arial"/>
          <w:sz w:val="20"/>
          <w:szCs w:val="20"/>
          <w:lang w:val="cs-CZ" w:eastAsia="ar-SA"/>
        </w:rPr>
        <w:t xml:space="preserve"> zaťaženie v kg/m</w:t>
      </w:r>
      <w:r w:rsidRPr="00CD2A61">
        <w:rPr>
          <w:rFonts w:cs="Arial"/>
          <w:sz w:val="20"/>
          <w:szCs w:val="20"/>
          <w:vertAlign w:val="superscript"/>
          <w:lang w:val="cs-CZ" w:eastAsia="ar-SA"/>
        </w:rPr>
        <w:t>2</w:t>
      </w:r>
    </w:p>
    <w:p w14:paraId="1FFA6EAF" w14:textId="363A2A77" w:rsidR="00B126FC" w:rsidRPr="00CD2A61" w:rsidRDefault="00B126FC" w:rsidP="00962715">
      <w:pPr>
        <w:tabs>
          <w:tab w:val="left" w:pos="426"/>
        </w:tabs>
        <w:suppressAutoHyphens/>
        <w:spacing w:after="0"/>
        <w:jc w:val="both"/>
        <w:rPr>
          <w:sz w:val="20"/>
          <w:szCs w:val="20"/>
          <w:lang w:val="cs-CZ" w:eastAsia="ar-SA"/>
        </w:rPr>
      </w:pPr>
      <w:r w:rsidRPr="00CD2A61">
        <w:rPr>
          <w:sz w:val="20"/>
          <w:szCs w:val="20"/>
          <w:lang w:val="cs-CZ" w:eastAsia="ar-SA"/>
        </w:rPr>
        <w:t>S</w:t>
      </w:r>
      <w:r w:rsidRPr="00CD2A61">
        <w:rPr>
          <w:sz w:val="20"/>
          <w:szCs w:val="20"/>
          <w:vertAlign w:val="subscript"/>
          <w:lang w:val="cs-CZ" w:eastAsia="ar-SA"/>
        </w:rPr>
        <w:t xml:space="preserve">i     </w:t>
      </w:r>
      <w:r w:rsidRPr="00CD2A61">
        <w:rPr>
          <w:sz w:val="20"/>
          <w:szCs w:val="20"/>
          <w:lang w:val="cs-CZ" w:eastAsia="ar-SA"/>
        </w:rPr>
        <w:t xml:space="preserve">  pôdorysná plocha v m</w:t>
      </w:r>
      <w:r w:rsidRPr="00CD2A61">
        <w:rPr>
          <w:sz w:val="20"/>
          <w:szCs w:val="20"/>
          <w:vertAlign w:val="superscript"/>
          <w:lang w:val="cs-CZ" w:eastAsia="ar-SA"/>
        </w:rPr>
        <w:t xml:space="preserve">2  </w:t>
      </w:r>
      <w:r w:rsidRPr="00CD2A61">
        <w:rPr>
          <w:sz w:val="20"/>
          <w:szCs w:val="20"/>
          <w:lang w:val="cs-CZ" w:eastAsia="ar-SA"/>
        </w:rPr>
        <w:t>i-tého priestoru v požiarnom podlaží</w:t>
      </w:r>
    </w:p>
    <w:p w14:paraId="65750584" w14:textId="77777777" w:rsidR="00B126FC" w:rsidRPr="00CD2A61" w:rsidRDefault="00B126FC" w:rsidP="00962715">
      <w:pPr>
        <w:tabs>
          <w:tab w:val="left" w:pos="426"/>
        </w:tabs>
        <w:suppressAutoHyphens/>
        <w:spacing w:after="0"/>
        <w:jc w:val="both"/>
        <w:rPr>
          <w:sz w:val="20"/>
          <w:szCs w:val="20"/>
          <w:vertAlign w:val="superscript"/>
          <w:lang w:val="cs-CZ" w:eastAsia="ar-SA"/>
        </w:rPr>
      </w:pPr>
      <w:r w:rsidRPr="00CD2A61">
        <w:rPr>
          <w:sz w:val="20"/>
          <w:szCs w:val="20"/>
          <w:lang w:val="cs-CZ" w:eastAsia="ar-SA"/>
        </w:rPr>
        <w:t>S</w:t>
      </w:r>
      <w:r w:rsidRPr="00CD2A61">
        <w:rPr>
          <w:sz w:val="20"/>
          <w:szCs w:val="20"/>
          <w:vertAlign w:val="subscript"/>
          <w:lang w:val="cs-CZ" w:eastAsia="ar-SA"/>
        </w:rPr>
        <w:t xml:space="preserve">     </w:t>
      </w:r>
      <w:r w:rsidRPr="00CD2A61">
        <w:rPr>
          <w:sz w:val="20"/>
          <w:szCs w:val="20"/>
          <w:lang w:val="cs-CZ" w:eastAsia="ar-SA"/>
        </w:rPr>
        <w:t xml:space="preserve">  celková pôdorysná plocha požiarneho úseku v m</w:t>
      </w:r>
      <w:r w:rsidRPr="00CD2A61">
        <w:rPr>
          <w:sz w:val="20"/>
          <w:szCs w:val="20"/>
          <w:vertAlign w:val="superscript"/>
          <w:lang w:val="cs-CZ" w:eastAsia="ar-SA"/>
        </w:rPr>
        <w:t xml:space="preserve">2 </w:t>
      </w:r>
    </w:p>
    <w:p w14:paraId="55617FE7" w14:textId="77777777" w:rsidR="00B126FC" w:rsidRPr="00CD2A61" w:rsidRDefault="00B126FC" w:rsidP="003B5F0C">
      <w:pPr>
        <w:tabs>
          <w:tab w:val="left" w:pos="426"/>
        </w:tabs>
        <w:suppressAutoHyphens/>
        <w:spacing w:after="0"/>
        <w:jc w:val="both"/>
        <w:rPr>
          <w:sz w:val="20"/>
          <w:szCs w:val="20"/>
          <w:vertAlign w:val="superscript"/>
          <w:lang w:val="cs-CZ" w:eastAsia="ar-SA"/>
        </w:rPr>
      </w:pPr>
    </w:p>
    <w:p w14:paraId="1874B0CA" w14:textId="0B9250E8" w:rsidR="00B126FC" w:rsidRPr="00CD2A61" w:rsidRDefault="00B126FC" w:rsidP="003B5F0C">
      <w:pPr>
        <w:tabs>
          <w:tab w:val="left" w:pos="426"/>
        </w:tabs>
        <w:suppressAutoHyphens/>
        <w:spacing w:after="0"/>
        <w:jc w:val="both"/>
        <w:rPr>
          <w:sz w:val="20"/>
          <w:szCs w:val="20"/>
          <w:lang w:val="cs-CZ" w:eastAsia="ar-SA"/>
        </w:rPr>
      </w:pPr>
      <w:r w:rsidRPr="00CD2A61">
        <w:rPr>
          <w:sz w:val="20"/>
          <w:szCs w:val="20"/>
          <w:lang w:val="cs-CZ" w:eastAsia="ar-SA"/>
        </w:rPr>
        <w:t xml:space="preserve">         </w:t>
      </w:r>
      <w:r w:rsidRPr="00CD2A61">
        <w:rPr>
          <w:rFonts w:cs="Arial"/>
          <w:sz w:val="20"/>
          <w:szCs w:val="20"/>
          <w:lang w:val="cs-CZ" w:eastAsia="ar-SA"/>
        </w:rPr>
        <w:t>∑</w:t>
      </w:r>
      <w:r w:rsidRPr="00CD2A61">
        <w:rPr>
          <w:sz w:val="20"/>
          <w:szCs w:val="20"/>
          <w:lang w:val="cs-CZ" w:eastAsia="ar-SA"/>
        </w:rPr>
        <w:t xml:space="preserve"> S</w:t>
      </w:r>
      <w:r w:rsidRPr="00CD2A61">
        <w:rPr>
          <w:sz w:val="20"/>
          <w:szCs w:val="20"/>
          <w:vertAlign w:val="subscript"/>
          <w:lang w:val="cs-CZ" w:eastAsia="ar-SA"/>
        </w:rPr>
        <w:t>oi</w:t>
      </w:r>
      <w:r w:rsidRPr="00CD2A61">
        <w:rPr>
          <w:sz w:val="20"/>
          <w:szCs w:val="20"/>
          <w:lang w:val="cs-CZ" w:eastAsia="ar-SA"/>
        </w:rPr>
        <w:t xml:space="preserve"> x h</w:t>
      </w:r>
      <w:r w:rsidRPr="00CD2A61">
        <w:rPr>
          <w:sz w:val="20"/>
          <w:szCs w:val="20"/>
          <w:vertAlign w:val="subscript"/>
          <w:lang w:val="cs-CZ" w:eastAsia="ar-SA"/>
        </w:rPr>
        <w:t>oi</w:t>
      </w:r>
      <w:r w:rsidRPr="00CD2A61">
        <w:rPr>
          <w:sz w:val="20"/>
          <w:szCs w:val="20"/>
          <w:vertAlign w:val="superscript"/>
          <w:lang w:val="cs-CZ" w:eastAsia="ar-SA"/>
        </w:rPr>
        <w:t>1/2</w:t>
      </w:r>
      <w:r w:rsidRPr="00CD2A61">
        <w:rPr>
          <w:sz w:val="20"/>
          <w:szCs w:val="20"/>
          <w:lang w:val="cs-CZ" w:eastAsia="ar-SA"/>
        </w:rPr>
        <w:t xml:space="preserve">        </w:t>
      </w:r>
      <w:r w:rsidR="005F2617">
        <w:rPr>
          <w:sz w:val="20"/>
          <w:szCs w:val="20"/>
          <w:lang w:val="cs-CZ" w:eastAsia="ar-SA"/>
        </w:rPr>
        <w:t>39,68</w:t>
      </w:r>
    </w:p>
    <w:p w14:paraId="4FAEF020" w14:textId="13141A1E" w:rsidR="00B126FC" w:rsidRPr="00CD2A61" w:rsidRDefault="00B126FC" w:rsidP="003B5F0C">
      <w:pPr>
        <w:tabs>
          <w:tab w:val="left" w:pos="426"/>
        </w:tabs>
        <w:suppressAutoHyphens/>
        <w:spacing w:after="0" w:line="240" w:lineRule="auto"/>
        <w:jc w:val="both"/>
        <w:rPr>
          <w:sz w:val="20"/>
          <w:szCs w:val="20"/>
          <w:lang w:val="cs-CZ" w:eastAsia="ar-SA"/>
        </w:rPr>
      </w:pPr>
      <w:r w:rsidRPr="00CD2A61">
        <w:rPr>
          <w:sz w:val="20"/>
          <w:szCs w:val="20"/>
          <w:lang w:val="cs-CZ" w:eastAsia="ar-SA"/>
        </w:rPr>
        <w:t>F</w:t>
      </w:r>
      <w:r w:rsidRPr="00CD2A61">
        <w:rPr>
          <w:sz w:val="20"/>
          <w:szCs w:val="20"/>
          <w:vertAlign w:val="subscript"/>
          <w:lang w:val="cs-CZ" w:eastAsia="ar-SA"/>
        </w:rPr>
        <w:t>o</w:t>
      </w:r>
      <w:r w:rsidRPr="00CD2A61">
        <w:rPr>
          <w:sz w:val="20"/>
          <w:szCs w:val="20"/>
          <w:lang w:val="cs-CZ" w:eastAsia="ar-SA"/>
        </w:rPr>
        <w:t xml:space="preserve"> = ----------------- = ----------- = 0,</w:t>
      </w:r>
      <w:r w:rsidR="001516BD" w:rsidRPr="00CD2A61">
        <w:rPr>
          <w:sz w:val="20"/>
          <w:szCs w:val="20"/>
          <w:lang w:val="cs-CZ" w:eastAsia="ar-SA"/>
        </w:rPr>
        <w:t>0</w:t>
      </w:r>
      <w:r w:rsidR="005F2617">
        <w:rPr>
          <w:sz w:val="20"/>
          <w:szCs w:val="20"/>
          <w:lang w:val="cs-CZ" w:eastAsia="ar-SA"/>
        </w:rPr>
        <w:t>104</w:t>
      </w:r>
    </w:p>
    <w:p w14:paraId="053EE50E" w14:textId="3C5816D6" w:rsidR="00B126FC" w:rsidRPr="00CD2A61" w:rsidRDefault="00B126FC" w:rsidP="003B5F0C">
      <w:pPr>
        <w:tabs>
          <w:tab w:val="left" w:pos="426"/>
        </w:tabs>
        <w:suppressAutoHyphens/>
        <w:spacing w:after="0" w:line="240" w:lineRule="auto"/>
        <w:jc w:val="both"/>
        <w:rPr>
          <w:sz w:val="20"/>
          <w:szCs w:val="20"/>
          <w:lang w:val="cs-CZ" w:eastAsia="ar-SA"/>
        </w:rPr>
      </w:pPr>
      <w:r w:rsidRPr="00CD2A61">
        <w:rPr>
          <w:sz w:val="20"/>
          <w:szCs w:val="20"/>
          <w:lang w:val="cs-CZ" w:eastAsia="ar-SA"/>
        </w:rPr>
        <w:t xml:space="preserve">                  S</w:t>
      </w:r>
      <w:r w:rsidRPr="00CD2A61">
        <w:rPr>
          <w:sz w:val="20"/>
          <w:szCs w:val="20"/>
          <w:vertAlign w:val="subscript"/>
          <w:lang w:val="cs-CZ" w:eastAsia="ar-SA"/>
        </w:rPr>
        <w:t>k</w:t>
      </w:r>
      <w:r w:rsidRPr="00CD2A61">
        <w:rPr>
          <w:sz w:val="20"/>
          <w:szCs w:val="20"/>
          <w:lang w:val="cs-CZ" w:eastAsia="ar-SA"/>
        </w:rPr>
        <w:t xml:space="preserve">               </w:t>
      </w:r>
      <w:r w:rsidR="00E51A11" w:rsidRPr="00CD2A61">
        <w:rPr>
          <w:sz w:val="20"/>
          <w:szCs w:val="20"/>
          <w:lang w:val="cs-CZ" w:eastAsia="ar-SA"/>
        </w:rPr>
        <w:t>3 808,0</w:t>
      </w:r>
    </w:p>
    <w:p w14:paraId="58E5ED00" w14:textId="77777777" w:rsidR="00B126FC" w:rsidRPr="00CD2A61" w:rsidRDefault="00B126FC" w:rsidP="003B5F0C">
      <w:pPr>
        <w:tabs>
          <w:tab w:val="left" w:pos="426"/>
        </w:tabs>
        <w:suppressAutoHyphens/>
        <w:spacing w:after="0"/>
        <w:jc w:val="both"/>
        <w:rPr>
          <w:sz w:val="20"/>
          <w:szCs w:val="20"/>
          <w:lang w:val="cs-CZ" w:eastAsia="ar-SA"/>
        </w:rPr>
      </w:pPr>
    </w:p>
    <w:p w14:paraId="07C20B92" w14:textId="77777777" w:rsidR="00B126FC" w:rsidRPr="00CD2A61" w:rsidRDefault="00B126FC" w:rsidP="003B5F0C">
      <w:pPr>
        <w:tabs>
          <w:tab w:val="left" w:pos="426"/>
        </w:tabs>
        <w:suppressAutoHyphens/>
        <w:spacing w:after="0"/>
        <w:jc w:val="both"/>
        <w:rPr>
          <w:sz w:val="20"/>
          <w:szCs w:val="20"/>
          <w:vertAlign w:val="superscript"/>
          <w:lang w:val="cs-CZ" w:eastAsia="ar-SA"/>
        </w:rPr>
      </w:pPr>
      <w:r w:rsidRPr="00CD2A61">
        <w:rPr>
          <w:sz w:val="20"/>
          <w:szCs w:val="20"/>
          <w:lang w:val="cs-CZ" w:eastAsia="ar-SA"/>
        </w:rPr>
        <w:t>F</w:t>
      </w:r>
      <w:r w:rsidRPr="00CD2A61">
        <w:rPr>
          <w:sz w:val="20"/>
          <w:szCs w:val="20"/>
          <w:vertAlign w:val="subscript"/>
          <w:lang w:val="cs-CZ" w:eastAsia="ar-SA"/>
        </w:rPr>
        <w:t>o</w:t>
      </w:r>
      <w:r w:rsidRPr="00CD2A61">
        <w:rPr>
          <w:rFonts w:cs="Arial"/>
          <w:sz w:val="20"/>
          <w:szCs w:val="20"/>
          <w:lang w:val="cs-CZ" w:eastAsia="ar-SA"/>
        </w:rPr>
        <w:t xml:space="preserve">      parameter odvetrania v m</w:t>
      </w:r>
      <w:r w:rsidRPr="00CD2A61">
        <w:rPr>
          <w:sz w:val="20"/>
          <w:szCs w:val="20"/>
          <w:vertAlign w:val="superscript"/>
          <w:lang w:val="cs-CZ" w:eastAsia="ar-SA"/>
        </w:rPr>
        <w:t>1/2</w:t>
      </w:r>
    </w:p>
    <w:p w14:paraId="3A42891A" w14:textId="77777777" w:rsidR="00B126FC" w:rsidRPr="00CD2A61" w:rsidRDefault="00B126FC" w:rsidP="003B5F0C">
      <w:pPr>
        <w:tabs>
          <w:tab w:val="left" w:pos="426"/>
        </w:tabs>
        <w:suppressAutoHyphens/>
        <w:spacing w:after="0"/>
        <w:jc w:val="both"/>
        <w:rPr>
          <w:sz w:val="20"/>
          <w:szCs w:val="20"/>
          <w:lang w:val="cs-CZ" w:eastAsia="ar-SA"/>
        </w:rPr>
      </w:pPr>
      <w:r w:rsidRPr="00CD2A61">
        <w:rPr>
          <w:sz w:val="20"/>
          <w:szCs w:val="20"/>
          <w:lang w:val="cs-CZ" w:eastAsia="ar-SA"/>
        </w:rPr>
        <w:t>S</w:t>
      </w:r>
      <w:r w:rsidRPr="00CD2A61">
        <w:rPr>
          <w:sz w:val="20"/>
          <w:szCs w:val="20"/>
          <w:vertAlign w:val="subscript"/>
          <w:lang w:val="cs-CZ" w:eastAsia="ar-SA"/>
        </w:rPr>
        <w:t xml:space="preserve">oi        </w:t>
      </w:r>
      <w:r w:rsidRPr="00CD2A61">
        <w:rPr>
          <w:sz w:val="20"/>
          <w:szCs w:val="20"/>
          <w:lang w:val="cs-CZ" w:eastAsia="ar-SA"/>
        </w:rPr>
        <w:t>plocha i-tého otvoru v m</w:t>
      </w:r>
      <w:r w:rsidRPr="00CD2A61">
        <w:rPr>
          <w:sz w:val="20"/>
          <w:szCs w:val="20"/>
          <w:vertAlign w:val="superscript"/>
          <w:lang w:val="cs-CZ" w:eastAsia="ar-SA"/>
        </w:rPr>
        <w:t xml:space="preserve">2 </w:t>
      </w:r>
      <w:r w:rsidRPr="00CD2A61">
        <w:rPr>
          <w:sz w:val="20"/>
          <w:szCs w:val="20"/>
          <w:lang w:val="cs-CZ" w:eastAsia="ar-SA"/>
        </w:rPr>
        <w:t xml:space="preserve">v obvodových konštrukciách a konštrukciách striech         </w:t>
      </w:r>
    </w:p>
    <w:p w14:paraId="2592729A" w14:textId="77777777" w:rsidR="00B126FC" w:rsidRPr="00CD2A61" w:rsidRDefault="00B126FC" w:rsidP="003B5F0C">
      <w:pPr>
        <w:tabs>
          <w:tab w:val="left" w:pos="426"/>
        </w:tabs>
        <w:suppressAutoHyphens/>
        <w:spacing w:after="0"/>
        <w:jc w:val="both"/>
        <w:rPr>
          <w:sz w:val="20"/>
          <w:szCs w:val="20"/>
          <w:lang w:val="cs-CZ" w:eastAsia="ar-SA"/>
        </w:rPr>
      </w:pPr>
      <w:r w:rsidRPr="00CD2A61">
        <w:rPr>
          <w:sz w:val="20"/>
          <w:szCs w:val="20"/>
          <w:lang w:val="cs-CZ" w:eastAsia="ar-SA"/>
        </w:rPr>
        <w:t xml:space="preserve">         ohraničujúcich požiarny úsek alebo jeho časť</w:t>
      </w:r>
    </w:p>
    <w:p w14:paraId="7E4354B5" w14:textId="77777777" w:rsidR="00B126FC" w:rsidRPr="00CD2A61" w:rsidRDefault="00B126FC" w:rsidP="003B5F0C">
      <w:pPr>
        <w:tabs>
          <w:tab w:val="left" w:pos="426"/>
        </w:tabs>
        <w:suppressAutoHyphens/>
        <w:spacing w:after="0"/>
        <w:jc w:val="both"/>
        <w:rPr>
          <w:sz w:val="20"/>
          <w:szCs w:val="20"/>
          <w:lang w:val="cs-CZ" w:eastAsia="ar-SA"/>
        </w:rPr>
      </w:pPr>
      <w:r w:rsidRPr="00CD2A61">
        <w:rPr>
          <w:sz w:val="20"/>
          <w:szCs w:val="20"/>
          <w:lang w:val="cs-CZ" w:eastAsia="ar-SA"/>
        </w:rPr>
        <w:t>h</w:t>
      </w:r>
      <w:r w:rsidRPr="00CD2A61">
        <w:rPr>
          <w:sz w:val="20"/>
          <w:szCs w:val="20"/>
          <w:vertAlign w:val="subscript"/>
          <w:lang w:val="cs-CZ" w:eastAsia="ar-SA"/>
        </w:rPr>
        <w:t>oi</w:t>
      </w:r>
      <w:r w:rsidRPr="00CD2A61">
        <w:rPr>
          <w:sz w:val="20"/>
          <w:szCs w:val="20"/>
          <w:lang w:val="cs-CZ" w:eastAsia="ar-SA"/>
        </w:rPr>
        <w:t xml:space="preserve">     výška i-tého otvoru v m</w:t>
      </w:r>
      <w:r w:rsidRPr="00CD2A61">
        <w:rPr>
          <w:sz w:val="20"/>
          <w:szCs w:val="20"/>
          <w:vertAlign w:val="superscript"/>
          <w:lang w:val="cs-CZ" w:eastAsia="ar-SA"/>
        </w:rPr>
        <w:t xml:space="preserve"> </w:t>
      </w:r>
      <w:r w:rsidRPr="00CD2A61">
        <w:rPr>
          <w:sz w:val="20"/>
          <w:szCs w:val="20"/>
          <w:lang w:val="cs-CZ" w:eastAsia="ar-SA"/>
        </w:rPr>
        <w:t xml:space="preserve">v obvodových konštrukciách a konštrukciách striech         </w:t>
      </w:r>
    </w:p>
    <w:p w14:paraId="7815B0FE" w14:textId="77777777" w:rsidR="00B126FC" w:rsidRPr="00CD2A61" w:rsidRDefault="00B126FC" w:rsidP="003B5F0C">
      <w:pPr>
        <w:tabs>
          <w:tab w:val="left" w:pos="426"/>
        </w:tabs>
        <w:suppressAutoHyphens/>
        <w:spacing w:after="0"/>
        <w:jc w:val="both"/>
        <w:rPr>
          <w:sz w:val="20"/>
          <w:szCs w:val="20"/>
          <w:lang w:val="cs-CZ" w:eastAsia="ar-SA"/>
        </w:rPr>
      </w:pPr>
      <w:r w:rsidRPr="00CD2A61">
        <w:rPr>
          <w:sz w:val="20"/>
          <w:szCs w:val="20"/>
          <w:lang w:val="cs-CZ" w:eastAsia="ar-SA"/>
        </w:rPr>
        <w:t xml:space="preserve">         ohraničujúcich požiarny úsek alebo jeho časť</w:t>
      </w:r>
    </w:p>
    <w:p w14:paraId="7333E93F" w14:textId="77777777" w:rsidR="00B126FC" w:rsidRPr="00CD2A61" w:rsidRDefault="00B126FC" w:rsidP="003B5F0C">
      <w:pPr>
        <w:tabs>
          <w:tab w:val="left" w:pos="426"/>
        </w:tabs>
        <w:suppressAutoHyphens/>
        <w:spacing w:after="0"/>
        <w:jc w:val="both"/>
        <w:rPr>
          <w:sz w:val="20"/>
          <w:szCs w:val="20"/>
          <w:vertAlign w:val="superscript"/>
          <w:lang w:val="cs-CZ" w:eastAsia="ar-SA"/>
        </w:rPr>
      </w:pPr>
      <w:r w:rsidRPr="00CD2A61">
        <w:rPr>
          <w:sz w:val="20"/>
          <w:szCs w:val="20"/>
          <w:lang w:val="cs-CZ" w:eastAsia="ar-SA"/>
        </w:rPr>
        <w:t>S</w:t>
      </w:r>
      <w:r w:rsidRPr="00CD2A61">
        <w:rPr>
          <w:sz w:val="20"/>
          <w:szCs w:val="20"/>
          <w:vertAlign w:val="subscript"/>
          <w:lang w:val="cs-CZ" w:eastAsia="ar-SA"/>
        </w:rPr>
        <w:t xml:space="preserve">k     </w:t>
      </w:r>
      <w:r w:rsidRPr="00CD2A61">
        <w:rPr>
          <w:sz w:val="20"/>
          <w:szCs w:val="20"/>
          <w:lang w:val="cs-CZ" w:eastAsia="ar-SA"/>
        </w:rPr>
        <w:t xml:space="preserve">   povrchová plocha konštrukcií v m</w:t>
      </w:r>
      <w:r w:rsidRPr="00CD2A61">
        <w:rPr>
          <w:sz w:val="20"/>
          <w:szCs w:val="20"/>
          <w:vertAlign w:val="superscript"/>
          <w:lang w:val="cs-CZ" w:eastAsia="ar-SA"/>
        </w:rPr>
        <w:t xml:space="preserve">2  </w:t>
      </w:r>
    </w:p>
    <w:p w14:paraId="29880229" w14:textId="77777777" w:rsidR="00B126FC" w:rsidRPr="00CD2A61" w:rsidRDefault="00B126FC" w:rsidP="003B5F0C">
      <w:pPr>
        <w:tabs>
          <w:tab w:val="left" w:pos="426"/>
        </w:tabs>
        <w:suppressAutoHyphens/>
        <w:spacing w:after="0"/>
        <w:jc w:val="both"/>
        <w:rPr>
          <w:sz w:val="20"/>
          <w:szCs w:val="20"/>
          <w:lang w:val="cs-CZ" w:eastAsia="ar-SA"/>
        </w:rPr>
      </w:pPr>
      <w:r w:rsidRPr="00CD2A61">
        <w:rPr>
          <w:sz w:val="20"/>
          <w:szCs w:val="20"/>
          <w:lang w:val="cs-CZ" w:eastAsia="ar-SA"/>
        </w:rPr>
        <w:t xml:space="preserve">         </w:t>
      </w:r>
    </w:p>
    <w:p w14:paraId="61C7A480" w14:textId="48CE1CF8" w:rsidR="00B126FC" w:rsidRPr="00CD2A61" w:rsidRDefault="00B126FC" w:rsidP="003B5F0C">
      <w:pPr>
        <w:tabs>
          <w:tab w:val="left" w:pos="426"/>
        </w:tabs>
        <w:suppressAutoHyphens/>
        <w:spacing w:after="0"/>
        <w:jc w:val="both"/>
        <w:rPr>
          <w:rFonts w:cs="Arial"/>
          <w:sz w:val="20"/>
          <w:szCs w:val="20"/>
          <w:vertAlign w:val="subscript"/>
          <w:lang w:val="cs-CZ" w:eastAsia="ar-SA"/>
        </w:rPr>
      </w:pPr>
      <w:r w:rsidRPr="00CD2A61">
        <w:rPr>
          <w:sz w:val="20"/>
          <w:szCs w:val="20"/>
          <w:lang w:val="cs-CZ" w:eastAsia="ar-SA"/>
        </w:rPr>
        <w:t>v</w:t>
      </w:r>
      <w:r w:rsidRPr="00CD2A61">
        <w:rPr>
          <w:sz w:val="20"/>
          <w:szCs w:val="20"/>
          <w:vertAlign w:val="subscript"/>
          <w:lang w:val="cs-CZ" w:eastAsia="ar-SA"/>
        </w:rPr>
        <w:t>v</w:t>
      </w:r>
      <w:r w:rsidRPr="00CD2A61">
        <w:rPr>
          <w:sz w:val="20"/>
          <w:szCs w:val="20"/>
          <w:lang w:val="cs-CZ" w:eastAsia="ar-SA"/>
        </w:rPr>
        <w:t xml:space="preserve"> = </w:t>
      </w:r>
      <w:r w:rsidRPr="00CD2A61">
        <w:rPr>
          <w:rFonts w:cs="Arial"/>
          <w:sz w:val="20"/>
          <w:szCs w:val="20"/>
          <w:lang w:val="cs-CZ" w:eastAsia="ar-SA"/>
        </w:rPr>
        <w:t xml:space="preserve">γ x </w:t>
      </w:r>
      <w:r w:rsidRPr="00CD2A61">
        <w:rPr>
          <w:sz w:val="20"/>
          <w:szCs w:val="20"/>
          <w:lang w:val="cs-CZ" w:eastAsia="ar-SA"/>
        </w:rPr>
        <w:t>F</w:t>
      </w:r>
      <w:r w:rsidRPr="00CD2A61">
        <w:rPr>
          <w:sz w:val="20"/>
          <w:szCs w:val="20"/>
          <w:vertAlign w:val="subscript"/>
          <w:lang w:val="cs-CZ" w:eastAsia="ar-SA"/>
        </w:rPr>
        <w:t>o</w:t>
      </w:r>
      <w:r w:rsidRPr="00CD2A61">
        <w:rPr>
          <w:rFonts w:cs="Arial"/>
          <w:sz w:val="20"/>
          <w:szCs w:val="20"/>
          <w:lang w:val="cs-CZ" w:eastAsia="ar-SA"/>
        </w:rPr>
        <w:t xml:space="preserve"> x k</w:t>
      </w:r>
      <w:r w:rsidRPr="00CD2A61">
        <w:rPr>
          <w:rFonts w:cs="Arial"/>
          <w:sz w:val="20"/>
          <w:szCs w:val="20"/>
          <w:vertAlign w:val="subscript"/>
          <w:lang w:val="cs-CZ" w:eastAsia="ar-SA"/>
        </w:rPr>
        <w:t xml:space="preserve">3 </w:t>
      </w:r>
      <w:r w:rsidRPr="00CD2A61">
        <w:rPr>
          <w:rFonts w:cs="Arial"/>
          <w:sz w:val="20"/>
          <w:szCs w:val="20"/>
          <w:lang w:val="cs-CZ" w:eastAsia="ar-SA"/>
        </w:rPr>
        <w:t>= 7,</w:t>
      </w:r>
      <w:r w:rsidR="00900F50">
        <w:rPr>
          <w:rFonts w:cs="Arial"/>
          <w:sz w:val="20"/>
          <w:szCs w:val="20"/>
          <w:lang w:val="cs-CZ" w:eastAsia="ar-SA"/>
        </w:rPr>
        <w:t>59</w:t>
      </w:r>
      <w:r w:rsidRPr="00CD2A61">
        <w:rPr>
          <w:rFonts w:cs="Arial"/>
          <w:sz w:val="20"/>
          <w:szCs w:val="20"/>
          <w:lang w:val="cs-CZ" w:eastAsia="ar-SA"/>
        </w:rPr>
        <w:t xml:space="preserve"> x 0,0</w:t>
      </w:r>
      <w:r w:rsidR="005F2617">
        <w:rPr>
          <w:rFonts w:cs="Arial"/>
          <w:sz w:val="20"/>
          <w:szCs w:val="20"/>
          <w:lang w:val="cs-CZ" w:eastAsia="ar-SA"/>
        </w:rPr>
        <w:t>104</w:t>
      </w:r>
      <w:r w:rsidRPr="00CD2A61">
        <w:rPr>
          <w:rFonts w:cs="Arial"/>
          <w:sz w:val="20"/>
          <w:szCs w:val="20"/>
          <w:lang w:val="cs-CZ" w:eastAsia="ar-SA"/>
        </w:rPr>
        <w:t xml:space="preserve"> x 2,</w:t>
      </w:r>
      <w:r w:rsidR="00900F50">
        <w:rPr>
          <w:rFonts w:cs="Arial"/>
          <w:sz w:val="20"/>
          <w:szCs w:val="20"/>
          <w:lang w:val="cs-CZ" w:eastAsia="ar-SA"/>
        </w:rPr>
        <w:t>78</w:t>
      </w:r>
      <w:r w:rsidR="00E51A11" w:rsidRPr="00CD2A61">
        <w:rPr>
          <w:rFonts w:cs="Arial"/>
          <w:sz w:val="20"/>
          <w:szCs w:val="20"/>
          <w:lang w:val="cs-CZ" w:eastAsia="ar-SA"/>
        </w:rPr>
        <w:t xml:space="preserve"> </w:t>
      </w:r>
      <w:r w:rsidRPr="00CD2A61">
        <w:rPr>
          <w:rFonts w:cs="Arial"/>
          <w:sz w:val="20"/>
          <w:szCs w:val="20"/>
          <w:lang w:val="cs-CZ" w:eastAsia="ar-SA"/>
        </w:rPr>
        <w:t>= 0,2</w:t>
      </w:r>
      <w:r w:rsidR="00900F50">
        <w:rPr>
          <w:rFonts w:cs="Arial"/>
          <w:sz w:val="20"/>
          <w:szCs w:val="20"/>
          <w:lang w:val="cs-CZ" w:eastAsia="ar-SA"/>
        </w:rPr>
        <w:t>2</w:t>
      </w:r>
    </w:p>
    <w:p w14:paraId="42FEB8E3" w14:textId="77777777" w:rsidR="00B126FC" w:rsidRPr="00CD2A61" w:rsidRDefault="00B126FC" w:rsidP="003B5F0C">
      <w:pPr>
        <w:tabs>
          <w:tab w:val="left" w:pos="426"/>
        </w:tabs>
        <w:suppressAutoHyphens/>
        <w:spacing w:after="0"/>
        <w:jc w:val="both"/>
        <w:rPr>
          <w:sz w:val="20"/>
          <w:szCs w:val="20"/>
          <w:lang w:val="cs-CZ" w:eastAsia="ar-SA"/>
        </w:rPr>
      </w:pPr>
    </w:p>
    <w:p w14:paraId="4107B601" w14:textId="77777777" w:rsidR="00B126FC" w:rsidRPr="00CD2A61" w:rsidRDefault="00B126FC" w:rsidP="003B5F0C">
      <w:pPr>
        <w:tabs>
          <w:tab w:val="left" w:pos="426"/>
        </w:tabs>
        <w:suppressAutoHyphens/>
        <w:spacing w:after="0"/>
        <w:jc w:val="both"/>
        <w:rPr>
          <w:sz w:val="20"/>
          <w:szCs w:val="20"/>
          <w:lang w:val="cs-CZ" w:eastAsia="ar-SA"/>
        </w:rPr>
      </w:pPr>
      <w:r w:rsidRPr="00CD2A61">
        <w:rPr>
          <w:sz w:val="20"/>
          <w:szCs w:val="20"/>
          <w:lang w:val="cs-CZ" w:eastAsia="ar-SA"/>
        </w:rPr>
        <w:t>v</w:t>
      </w:r>
      <w:r w:rsidRPr="00CD2A61">
        <w:rPr>
          <w:sz w:val="20"/>
          <w:szCs w:val="20"/>
          <w:vertAlign w:val="subscript"/>
          <w:lang w:val="cs-CZ" w:eastAsia="ar-SA"/>
        </w:rPr>
        <w:t xml:space="preserve">v  </w:t>
      </w:r>
      <w:r w:rsidRPr="00CD2A61">
        <w:rPr>
          <w:sz w:val="20"/>
          <w:szCs w:val="20"/>
          <w:lang w:val="cs-CZ" w:eastAsia="ar-SA"/>
        </w:rPr>
        <w:t xml:space="preserve">   rýchlost odhorievania v kg.m</w:t>
      </w:r>
      <w:r w:rsidRPr="00CD2A61">
        <w:rPr>
          <w:sz w:val="20"/>
          <w:szCs w:val="20"/>
          <w:vertAlign w:val="superscript"/>
          <w:lang w:val="cs-CZ" w:eastAsia="ar-SA"/>
        </w:rPr>
        <w:t>-2</w:t>
      </w:r>
      <w:r w:rsidRPr="00CD2A61">
        <w:rPr>
          <w:sz w:val="20"/>
          <w:szCs w:val="20"/>
          <w:lang w:val="cs-CZ" w:eastAsia="ar-SA"/>
        </w:rPr>
        <w:t>.min</w:t>
      </w:r>
      <w:r w:rsidRPr="00CD2A61">
        <w:rPr>
          <w:sz w:val="20"/>
          <w:szCs w:val="20"/>
          <w:vertAlign w:val="superscript"/>
          <w:lang w:val="cs-CZ" w:eastAsia="ar-SA"/>
        </w:rPr>
        <w:t>-1</w:t>
      </w:r>
    </w:p>
    <w:p w14:paraId="5FDE2086" w14:textId="77777777" w:rsidR="00B126FC" w:rsidRPr="00CD2A61" w:rsidRDefault="00B126FC" w:rsidP="003B5F0C">
      <w:pPr>
        <w:tabs>
          <w:tab w:val="left" w:pos="426"/>
        </w:tabs>
        <w:suppressAutoHyphens/>
        <w:spacing w:after="0"/>
        <w:jc w:val="both"/>
        <w:rPr>
          <w:sz w:val="20"/>
          <w:szCs w:val="20"/>
          <w:lang w:val="cs-CZ" w:eastAsia="ar-SA"/>
        </w:rPr>
      </w:pPr>
      <w:r w:rsidRPr="00CD2A61">
        <w:rPr>
          <w:rFonts w:cs="Arial"/>
          <w:sz w:val="20"/>
          <w:szCs w:val="20"/>
          <w:lang w:val="cs-CZ" w:eastAsia="ar-SA"/>
        </w:rPr>
        <w:t xml:space="preserve">γ       súčiniteľ rýchlosti odhorievania v </w:t>
      </w:r>
      <w:r w:rsidRPr="00CD2A61">
        <w:rPr>
          <w:sz w:val="20"/>
          <w:szCs w:val="20"/>
          <w:lang w:val="cs-CZ" w:eastAsia="ar-SA"/>
        </w:rPr>
        <w:t>kg.m</w:t>
      </w:r>
      <w:r w:rsidRPr="00CD2A61">
        <w:rPr>
          <w:sz w:val="20"/>
          <w:szCs w:val="20"/>
          <w:vertAlign w:val="superscript"/>
          <w:lang w:val="cs-CZ" w:eastAsia="ar-SA"/>
        </w:rPr>
        <w:t>-5/2</w:t>
      </w:r>
      <w:r w:rsidRPr="00CD2A61">
        <w:rPr>
          <w:sz w:val="20"/>
          <w:szCs w:val="20"/>
          <w:lang w:val="cs-CZ" w:eastAsia="ar-SA"/>
        </w:rPr>
        <w:t>.min</w:t>
      </w:r>
      <w:r w:rsidRPr="00CD2A61">
        <w:rPr>
          <w:sz w:val="20"/>
          <w:szCs w:val="20"/>
          <w:vertAlign w:val="superscript"/>
          <w:lang w:val="cs-CZ" w:eastAsia="ar-SA"/>
        </w:rPr>
        <w:t>-1</w:t>
      </w:r>
    </w:p>
    <w:p w14:paraId="67929E8D" w14:textId="77777777" w:rsidR="00B126FC" w:rsidRPr="00CD2A61" w:rsidRDefault="00B126FC" w:rsidP="003B5F0C">
      <w:pPr>
        <w:tabs>
          <w:tab w:val="left" w:pos="426"/>
        </w:tabs>
        <w:suppressAutoHyphens/>
        <w:spacing w:after="0"/>
        <w:jc w:val="both"/>
        <w:rPr>
          <w:sz w:val="20"/>
          <w:szCs w:val="20"/>
          <w:vertAlign w:val="superscript"/>
          <w:lang w:val="cs-CZ" w:eastAsia="ar-SA"/>
        </w:rPr>
      </w:pPr>
      <w:r w:rsidRPr="00CD2A61">
        <w:rPr>
          <w:sz w:val="20"/>
          <w:szCs w:val="20"/>
          <w:lang w:val="cs-CZ" w:eastAsia="ar-SA"/>
        </w:rPr>
        <w:t>k</w:t>
      </w:r>
      <w:r w:rsidRPr="00CD2A61">
        <w:rPr>
          <w:sz w:val="20"/>
          <w:szCs w:val="20"/>
          <w:vertAlign w:val="subscript"/>
          <w:lang w:val="cs-CZ" w:eastAsia="ar-SA"/>
        </w:rPr>
        <w:t xml:space="preserve">3     </w:t>
      </w:r>
      <w:r w:rsidRPr="00CD2A61">
        <w:rPr>
          <w:sz w:val="20"/>
          <w:szCs w:val="20"/>
          <w:lang w:val="cs-CZ" w:eastAsia="ar-SA"/>
        </w:rPr>
        <w:t xml:space="preserve">  povrchová plocha konštrukcií v m</w:t>
      </w:r>
      <w:r w:rsidRPr="00CD2A61">
        <w:rPr>
          <w:sz w:val="20"/>
          <w:szCs w:val="20"/>
          <w:vertAlign w:val="superscript"/>
          <w:lang w:val="cs-CZ" w:eastAsia="ar-SA"/>
        </w:rPr>
        <w:t xml:space="preserve">2  </w:t>
      </w:r>
    </w:p>
    <w:p w14:paraId="7ED97A4F" w14:textId="77777777" w:rsidR="00B126FC" w:rsidRPr="00CD2A61" w:rsidRDefault="00B126FC" w:rsidP="003B5F0C">
      <w:pPr>
        <w:tabs>
          <w:tab w:val="left" w:pos="426"/>
        </w:tabs>
        <w:suppressAutoHyphens/>
        <w:spacing w:after="0"/>
        <w:jc w:val="both"/>
        <w:rPr>
          <w:sz w:val="20"/>
          <w:szCs w:val="20"/>
          <w:lang w:val="cs-CZ" w:eastAsia="ar-SA"/>
        </w:rPr>
      </w:pPr>
    </w:p>
    <w:p w14:paraId="783628E6" w14:textId="77777777" w:rsidR="00B126FC" w:rsidRPr="00CD2A61" w:rsidRDefault="00B126FC" w:rsidP="003B5F0C">
      <w:pPr>
        <w:tabs>
          <w:tab w:val="left" w:pos="426"/>
        </w:tabs>
        <w:suppressAutoHyphens/>
        <w:spacing w:after="0"/>
        <w:jc w:val="both"/>
        <w:rPr>
          <w:rFonts w:cs="Arial"/>
          <w:sz w:val="20"/>
          <w:szCs w:val="20"/>
          <w:vertAlign w:val="subscript"/>
          <w:lang w:val="cs-CZ" w:eastAsia="ar-SA"/>
        </w:rPr>
      </w:pPr>
      <w:r w:rsidRPr="00CD2A61">
        <w:rPr>
          <w:sz w:val="20"/>
          <w:szCs w:val="20"/>
          <w:lang w:val="cs-CZ" w:eastAsia="ar-SA"/>
        </w:rPr>
        <w:t>F</w:t>
      </w:r>
      <w:r w:rsidRPr="00CD2A61">
        <w:rPr>
          <w:sz w:val="20"/>
          <w:szCs w:val="20"/>
          <w:vertAlign w:val="subscript"/>
          <w:lang w:val="cs-CZ" w:eastAsia="ar-SA"/>
        </w:rPr>
        <w:t>1</w:t>
      </w:r>
      <w:r w:rsidRPr="00CD2A61">
        <w:rPr>
          <w:sz w:val="20"/>
          <w:szCs w:val="20"/>
          <w:lang w:val="cs-CZ" w:eastAsia="ar-SA"/>
        </w:rPr>
        <w:t xml:space="preserve"> = </w:t>
      </w:r>
      <w:r w:rsidRPr="00CD2A61">
        <w:rPr>
          <w:rFonts w:cs="Arial"/>
          <w:sz w:val="20"/>
          <w:szCs w:val="20"/>
          <w:lang w:val="cs-CZ" w:eastAsia="ar-SA"/>
        </w:rPr>
        <w:t>k</w:t>
      </w:r>
      <w:r w:rsidRPr="00CD2A61">
        <w:rPr>
          <w:rFonts w:cs="Arial"/>
          <w:sz w:val="20"/>
          <w:szCs w:val="20"/>
          <w:vertAlign w:val="subscript"/>
          <w:lang w:val="cs-CZ" w:eastAsia="ar-SA"/>
        </w:rPr>
        <w:t>4</w:t>
      </w:r>
      <w:r w:rsidRPr="00CD2A61">
        <w:rPr>
          <w:rFonts w:cs="Arial"/>
          <w:sz w:val="20"/>
          <w:szCs w:val="20"/>
          <w:lang w:val="cs-CZ" w:eastAsia="ar-SA"/>
        </w:rPr>
        <w:t xml:space="preserve"> x </w:t>
      </w:r>
      <w:r w:rsidRPr="00CD2A61">
        <w:rPr>
          <w:sz w:val="20"/>
          <w:szCs w:val="20"/>
          <w:lang w:val="cs-CZ" w:eastAsia="ar-SA"/>
        </w:rPr>
        <w:t>F</w:t>
      </w:r>
      <w:r w:rsidRPr="00CD2A61">
        <w:rPr>
          <w:sz w:val="20"/>
          <w:szCs w:val="20"/>
          <w:vertAlign w:val="subscript"/>
          <w:lang w:val="cs-CZ" w:eastAsia="ar-SA"/>
        </w:rPr>
        <w:t>o</w:t>
      </w:r>
      <w:r w:rsidRPr="00CD2A61">
        <w:rPr>
          <w:rFonts w:cs="Arial"/>
          <w:sz w:val="20"/>
          <w:szCs w:val="20"/>
          <w:lang w:val="cs-CZ" w:eastAsia="ar-SA"/>
        </w:rPr>
        <w:t xml:space="preserve"> x ̅K </w:t>
      </w:r>
    </w:p>
    <w:p w14:paraId="50CBF7AA" w14:textId="77777777" w:rsidR="00B126FC" w:rsidRPr="00CD2A61" w:rsidRDefault="00B126FC" w:rsidP="003B5F0C">
      <w:pPr>
        <w:tabs>
          <w:tab w:val="left" w:pos="426"/>
        </w:tabs>
        <w:suppressAutoHyphens/>
        <w:spacing w:after="0"/>
        <w:jc w:val="both"/>
        <w:rPr>
          <w:sz w:val="20"/>
          <w:szCs w:val="20"/>
          <w:lang w:val="cs-CZ" w:eastAsia="ar-SA"/>
        </w:rPr>
      </w:pPr>
    </w:p>
    <w:p w14:paraId="3BE91531" w14:textId="77777777" w:rsidR="00B126FC" w:rsidRPr="00CD2A61" w:rsidRDefault="00B126FC" w:rsidP="003B5F0C">
      <w:pPr>
        <w:tabs>
          <w:tab w:val="left" w:pos="426"/>
        </w:tabs>
        <w:suppressAutoHyphens/>
        <w:spacing w:after="0"/>
        <w:jc w:val="both"/>
        <w:rPr>
          <w:sz w:val="20"/>
          <w:szCs w:val="20"/>
          <w:vertAlign w:val="superscript"/>
          <w:lang w:val="cs-CZ" w:eastAsia="ar-SA"/>
        </w:rPr>
      </w:pPr>
      <w:r w:rsidRPr="00CD2A61">
        <w:rPr>
          <w:sz w:val="20"/>
          <w:szCs w:val="20"/>
          <w:lang w:val="cs-CZ" w:eastAsia="ar-SA"/>
        </w:rPr>
        <w:t>F</w:t>
      </w:r>
      <w:r w:rsidRPr="00CD2A61">
        <w:rPr>
          <w:sz w:val="20"/>
          <w:szCs w:val="20"/>
          <w:vertAlign w:val="subscript"/>
          <w:lang w:val="cs-CZ" w:eastAsia="ar-SA"/>
        </w:rPr>
        <w:t>1</w:t>
      </w:r>
      <w:r w:rsidRPr="00CD2A61">
        <w:rPr>
          <w:rFonts w:cs="Arial"/>
          <w:sz w:val="20"/>
          <w:szCs w:val="20"/>
          <w:lang w:val="cs-CZ" w:eastAsia="ar-SA"/>
        </w:rPr>
        <w:t xml:space="preserve">      prepočtový parameter odvetrania v m</w:t>
      </w:r>
      <w:r w:rsidRPr="00CD2A61">
        <w:rPr>
          <w:sz w:val="20"/>
          <w:szCs w:val="20"/>
          <w:vertAlign w:val="superscript"/>
          <w:lang w:val="cs-CZ" w:eastAsia="ar-SA"/>
        </w:rPr>
        <w:t>1/2</w:t>
      </w:r>
    </w:p>
    <w:p w14:paraId="77DEC9DF" w14:textId="77777777" w:rsidR="00B126FC" w:rsidRPr="00CD2A61" w:rsidRDefault="00B126FC" w:rsidP="003B5F0C">
      <w:pPr>
        <w:tabs>
          <w:tab w:val="left" w:pos="426"/>
        </w:tabs>
        <w:suppressAutoHyphens/>
        <w:spacing w:after="0"/>
        <w:jc w:val="both"/>
        <w:rPr>
          <w:sz w:val="20"/>
          <w:szCs w:val="20"/>
          <w:lang w:val="cs-CZ" w:eastAsia="ar-SA"/>
        </w:rPr>
      </w:pPr>
      <w:r w:rsidRPr="00CD2A61">
        <w:rPr>
          <w:sz w:val="20"/>
          <w:szCs w:val="20"/>
          <w:lang w:val="cs-CZ" w:eastAsia="ar-SA"/>
        </w:rPr>
        <w:t>k</w:t>
      </w:r>
      <w:r w:rsidRPr="00CD2A61">
        <w:rPr>
          <w:sz w:val="20"/>
          <w:szCs w:val="20"/>
          <w:vertAlign w:val="subscript"/>
          <w:lang w:val="cs-CZ" w:eastAsia="ar-SA"/>
        </w:rPr>
        <w:t xml:space="preserve">4     </w:t>
      </w:r>
      <w:r w:rsidRPr="00CD2A61">
        <w:rPr>
          <w:sz w:val="20"/>
          <w:szCs w:val="20"/>
          <w:lang w:val="cs-CZ" w:eastAsia="ar-SA"/>
        </w:rPr>
        <w:t xml:space="preserve">  súčiniteľ vplyvu tepelnotechnických vlastností konštrukcií ohraničujúcich požiarny úsek</w:t>
      </w:r>
    </w:p>
    <w:p w14:paraId="38F35E62" w14:textId="77777777" w:rsidR="00B126FC" w:rsidRPr="00CD2A61" w:rsidRDefault="00B126FC" w:rsidP="003B5F0C">
      <w:pPr>
        <w:tabs>
          <w:tab w:val="left" w:pos="426"/>
        </w:tabs>
        <w:suppressAutoHyphens/>
        <w:spacing w:after="0"/>
        <w:jc w:val="both"/>
        <w:rPr>
          <w:rFonts w:cs="Arial"/>
          <w:sz w:val="20"/>
          <w:szCs w:val="20"/>
          <w:lang w:val="cs-CZ" w:eastAsia="ar-SA"/>
        </w:rPr>
      </w:pPr>
      <w:r w:rsidRPr="00CD2A61">
        <w:rPr>
          <w:rFonts w:cs="Arial"/>
          <w:sz w:val="20"/>
          <w:szCs w:val="20"/>
          <w:lang w:val="cs-CZ" w:eastAsia="ar-SA"/>
        </w:rPr>
        <w:t>K       súčiniteľ ekvivalentného množstva dreva</w:t>
      </w:r>
    </w:p>
    <w:p w14:paraId="6B789E81" w14:textId="77777777" w:rsidR="00B126FC" w:rsidRPr="00CD2A61" w:rsidRDefault="00B126FC" w:rsidP="003B5F0C">
      <w:pPr>
        <w:tabs>
          <w:tab w:val="left" w:pos="426"/>
        </w:tabs>
        <w:suppressAutoHyphens/>
        <w:spacing w:after="0"/>
        <w:jc w:val="both"/>
        <w:rPr>
          <w:sz w:val="20"/>
          <w:szCs w:val="20"/>
          <w:vertAlign w:val="superscript"/>
          <w:lang w:val="cs-CZ" w:eastAsia="ar-SA"/>
        </w:rPr>
      </w:pPr>
    </w:p>
    <w:p w14:paraId="0D65B0F4" w14:textId="0A93665A" w:rsidR="00B126FC" w:rsidRPr="00CD2A61" w:rsidRDefault="00B126FC" w:rsidP="003B5F0C">
      <w:pPr>
        <w:tabs>
          <w:tab w:val="left" w:pos="426"/>
        </w:tabs>
        <w:suppressAutoHyphens/>
        <w:spacing w:after="0"/>
        <w:jc w:val="both"/>
        <w:rPr>
          <w:sz w:val="20"/>
          <w:szCs w:val="20"/>
          <w:lang w:val="cs-CZ" w:eastAsia="ar-SA"/>
        </w:rPr>
      </w:pPr>
      <w:r w:rsidRPr="00CD2A61">
        <w:rPr>
          <w:rFonts w:cs="Arial"/>
          <w:sz w:val="20"/>
          <w:szCs w:val="20"/>
          <w:lang w:val="cs-CZ" w:eastAsia="ar-SA"/>
        </w:rPr>
        <w:t xml:space="preserve">        ∑</w:t>
      </w:r>
      <w:r w:rsidRPr="00CD2A61">
        <w:rPr>
          <w:sz w:val="20"/>
          <w:szCs w:val="20"/>
          <w:lang w:val="cs-CZ" w:eastAsia="ar-SA"/>
        </w:rPr>
        <w:t xml:space="preserve"> (p</w:t>
      </w:r>
      <w:r w:rsidRPr="00CD2A61">
        <w:rPr>
          <w:sz w:val="20"/>
          <w:szCs w:val="20"/>
          <w:vertAlign w:val="subscript"/>
          <w:lang w:val="cs-CZ" w:eastAsia="ar-SA"/>
        </w:rPr>
        <w:t>ni</w:t>
      </w:r>
      <w:r w:rsidRPr="00CD2A61">
        <w:rPr>
          <w:sz w:val="20"/>
          <w:szCs w:val="20"/>
          <w:lang w:val="cs-CZ" w:eastAsia="ar-SA"/>
        </w:rPr>
        <w:t xml:space="preserve"> x k</w:t>
      </w:r>
      <w:r w:rsidRPr="00CD2A61">
        <w:rPr>
          <w:sz w:val="20"/>
          <w:szCs w:val="20"/>
          <w:vertAlign w:val="subscript"/>
          <w:lang w:val="cs-CZ" w:eastAsia="ar-SA"/>
        </w:rPr>
        <w:t xml:space="preserve">1ni  </w:t>
      </w:r>
      <w:r w:rsidRPr="00CD2A61">
        <w:rPr>
          <w:sz w:val="20"/>
          <w:szCs w:val="20"/>
          <w:lang w:val="cs-CZ" w:eastAsia="ar-SA"/>
        </w:rPr>
        <w:t>+</w:t>
      </w:r>
      <w:r w:rsidRPr="00CD2A61">
        <w:rPr>
          <w:sz w:val="20"/>
          <w:szCs w:val="20"/>
          <w:vertAlign w:val="subscript"/>
          <w:lang w:val="cs-CZ" w:eastAsia="ar-SA"/>
        </w:rPr>
        <w:t xml:space="preserve"> </w:t>
      </w:r>
      <w:r w:rsidRPr="00CD2A61">
        <w:rPr>
          <w:sz w:val="20"/>
          <w:szCs w:val="20"/>
          <w:lang w:val="cs-CZ" w:eastAsia="ar-SA"/>
        </w:rPr>
        <w:t xml:space="preserve">  p</w:t>
      </w:r>
      <w:r w:rsidRPr="00CD2A61">
        <w:rPr>
          <w:sz w:val="20"/>
          <w:szCs w:val="20"/>
          <w:vertAlign w:val="subscript"/>
          <w:lang w:val="cs-CZ" w:eastAsia="ar-SA"/>
        </w:rPr>
        <w:t>si</w:t>
      </w:r>
      <w:r w:rsidRPr="00CD2A61">
        <w:rPr>
          <w:sz w:val="20"/>
          <w:szCs w:val="20"/>
          <w:lang w:val="cs-CZ" w:eastAsia="ar-SA"/>
        </w:rPr>
        <w:t xml:space="preserve"> x k</w:t>
      </w:r>
      <w:r w:rsidRPr="00CD2A61">
        <w:rPr>
          <w:sz w:val="20"/>
          <w:szCs w:val="20"/>
          <w:vertAlign w:val="subscript"/>
          <w:lang w:val="cs-CZ" w:eastAsia="ar-SA"/>
        </w:rPr>
        <w:t xml:space="preserve">1si </w:t>
      </w:r>
      <w:r w:rsidRPr="00CD2A61">
        <w:rPr>
          <w:sz w:val="20"/>
          <w:szCs w:val="20"/>
          <w:lang w:val="cs-CZ" w:eastAsia="ar-SA"/>
        </w:rPr>
        <w:t>)</w:t>
      </w:r>
      <w:r w:rsidRPr="00CD2A61">
        <w:rPr>
          <w:sz w:val="20"/>
          <w:szCs w:val="20"/>
          <w:vertAlign w:val="subscript"/>
          <w:lang w:val="cs-CZ" w:eastAsia="ar-SA"/>
        </w:rPr>
        <w:t xml:space="preserve"> </w:t>
      </w:r>
      <w:r w:rsidRPr="00CD2A61">
        <w:rPr>
          <w:sz w:val="20"/>
          <w:szCs w:val="20"/>
          <w:lang w:val="cs-CZ" w:eastAsia="ar-SA"/>
        </w:rPr>
        <w:t>x S</w:t>
      </w:r>
      <w:r w:rsidRPr="00CD2A61">
        <w:rPr>
          <w:sz w:val="20"/>
          <w:szCs w:val="20"/>
          <w:vertAlign w:val="subscript"/>
          <w:lang w:val="cs-CZ" w:eastAsia="ar-SA"/>
        </w:rPr>
        <w:t>i</w:t>
      </w:r>
      <w:r w:rsidRPr="00CD2A61">
        <w:rPr>
          <w:sz w:val="20"/>
          <w:szCs w:val="20"/>
          <w:lang w:val="cs-CZ" w:eastAsia="ar-SA"/>
        </w:rPr>
        <w:t xml:space="preserve">         </w:t>
      </w:r>
    </w:p>
    <w:p w14:paraId="11423E4F" w14:textId="78B84B68" w:rsidR="00B126FC" w:rsidRPr="00CD2A61" w:rsidRDefault="00B126FC" w:rsidP="003B5F0C">
      <w:pPr>
        <w:tabs>
          <w:tab w:val="left" w:pos="360"/>
        </w:tabs>
        <w:suppressAutoHyphens/>
        <w:spacing w:after="0"/>
        <w:jc w:val="both"/>
        <w:rPr>
          <w:sz w:val="20"/>
          <w:szCs w:val="20"/>
          <w:lang w:eastAsia="ar-SA"/>
        </w:rPr>
      </w:pPr>
      <w:r w:rsidRPr="00CD2A61">
        <w:rPr>
          <w:sz w:val="20"/>
          <w:szCs w:val="20"/>
          <w:lang w:eastAsia="ar-SA"/>
        </w:rPr>
        <w:t>k</w:t>
      </w:r>
      <w:r w:rsidRPr="00CD2A61">
        <w:rPr>
          <w:sz w:val="20"/>
          <w:szCs w:val="20"/>
          <w:vertAlign w:val="subscript"/>
          <w:lang w:eastAsia="ar-SA"/>
        </w:rPr>
        <w:t xml:space="preserve">1 </w:t>
      </w:r>
      <w:r w:rsidRPr="00CD2A61">
        <w:rPr>
          <w:sz w:val="20"/>
          <w:szCs w:val="20"/>
          <w:lang w:eastAsia="ar-SA"/>
        </w:rPr>
        <w:t>= ------------------------------------- = 0,8</w:t>
      </w:r>
      <w:r w:rsidR="00900F50">
        <w:rPr>
          <w:sz w:val="20"/>
          <w:szCs w:val="20"/>
          <w:lang w:eastAsia="ar-SA"/>
        </w:rPr>
        <w:t>7</w:t>
      </w:r>
    </w:p>
    <w:p w14:paraId="355D22FC" w14:textId="1177E762" w:rsidR="00B126FC" w:rsidRPr="00CD2A61" w:rsidRDefault="00B126FC" w:rsidP="003B5F0C">
      <w:pPr>
        <w:tabs>
          <w:tab w:val="left" w:pos="360"/>
        </w:tabs>
        <w:suppressAutoHyphens/>
        <w:spacing w:after="0"/>
        <w:jc w:val="both"/>
        <w:rPr>
          <w:sz w:val="20"/>
          <w:szCs w:val="20"/>
          <w:lang w:eastAsia="ar-SA"/>
        </w:rPr>
      </w:pPr>
      <w:r w:rsidRPr="00CD2A61">
        <w:rPr>
          <w:rFonts w:cs="Arial"/>
          <w:sz w:val="20"/>
          <w:szCs w:val="20"/>
          <w:lang w:eastAsia="ar-SA"/>
        </w:rPr>
        <w:t xml:space="preserve">                 ∑</w:t>
      </w:r>
      <w:r w:rsidRPr="00CD2A61">
        <w:rPr>
          <w:sz w:val="20"/>
          <w:szCs w:val="20"/>
          <w:lang w:eastAsia="ar-SA"/>
        </w:rPr>
        <w:t xml:space="preserve"> (p</w:t>
      </w:r>
      <w:r w:rsidRPr="00CD2A61">
        <w:rPr>
          <w:sz w:val="20"/>
          <w:szCs w:val="20"/>
          <w:vertAlign w:val="subscript"/>
          <w:lang w:eastAsia="ar-SA"/>
        </w:rPr>
        <w:t>ni</w:t>
      </w:r>
      <w:r w:rsidRPr="00CD2A61">
        <w:rPr>
          <w:sz w:val="20"/>
          <w:szCs w:val="20"/>
          <w:lang w:eastAsia="ar-SA"/>
        </w:rPr>
        <w:t xml:space="preserve"> </w:t>
      </w:r>
      <w:r w:rsidRPr="00CD2A61">
        <w:rPr>
          <w:sz w:val="20"/>
          <w:szCs w:val="20"/>
          <w:vertAlign w:val="subscript"/>
          <w:lang w:eastAsia="ar-SA"/>
        </w:rPr>
        <w:t xml:space="preserve"> </w:t>
      </w:r>
      <w:r w:rsidRPr="00CD2A61">
        <w:rPr>
          <w:sz w:val="20"/>
          <w:szCs w:val="20"/>
          <w:lang w:eastAsia="ar-SA"/>
        </w:rPr>
        <w:t>+</w:t>
      </w:r>
      <w:r w:rsidRPr="00CD2A61">
        <w:rPr>
          <w:sz w:val="20"/>
          <w:szCs w:val="20"/>
          <w:vertAlign w:val="subscript"/>
          <w:lang w:eastAsia="ar-SA"/>
        </w:rPr>
        <w:t xml:space="preserve"> </w:t>
      </w:r>
      <w:r w:rsidRPr="00CD2A61">
        <w:rPr>
          <w:sz w:val="20"/>
          <w:szCs w:val="20"/>
          <w:lang w:eastAsia="ar-SA"/>
        </w:rPr>
        <w:t xml:space="preserve">  p</w:t>
      </w:r>
      <w:r w:rsidRPr="00CD2A61">
        <w:rPr>
          <w:sz w:val="20"/>
          <w:szCs w:val="20"/>
          <w:vertAlign w:val="subscript"/>
          <w:lang w:eastAsia="ar-SA"/>
        </w:rPr>
        <w:t xml:space="preserve">si </w:t>
      </w:r>
      <w:r w:rsidRPr="00CD2A61">
        <w:rPr>
          <w:sz w:val="20"/>
          <w:szCs w:val="20"/>
          <w:lang w:eastAsia="ar-SA"/>
        </w:rPr>
        <w:t>)</w:t>
      </w:r>
      <w:r w:rsidRPr="00CD2A61">
        <w:rPr>
          <w:sz w:val="20"/>
          <w:szCs w:val="20"/>
          <w:vertAlign w:val="subscript"/>
          <w:lang w:eastAsia="ar-SA"/>
        </w:rPr>
        <w:t xml:space="preserve"> </w:t>
      </w:r>
      <w:r w:rsidRPr="00CD2A61">
        <w:rPr>
          <w:sz w:val="20"/>
          <w:szCs w:val="20"/>
          <w:lang w:eastAsia="ar-SA"/>
        </w:rPr>
        <w:t>x S</w:t>
      </w:r>
      <w:r w:rsidRPr="00CD2A61">
        <w:rPr>
          <w:sz w:val="20"/>
          <w:szCs w:val="20"/>
          <w:vertAlign w:val="subscript"/>
          <w:lang w:eastAsia="ar-SA"/>
        </w:rPr>
        <w:t>i</w:t>
      </w:r>
      <w:r w:rsidRPr="00CD2A61">
        <w:rPr>
          <w:sz w:val="20"/>
          <w:szCs w:val="20"/>
          <w:lang w:eastAsia="ar-SA"/>
        </w:rPr>
        <w:t xml:space="preserve">                  </w:t>
      </w:r>
    </w:p>
    <w:p w14:paraId="5113DF8F" w14:textId="77777777" w:rsidR="00B126FC" w:rsidRPr="00CD2A61" w:rsidRDefault="00B126FC" w:rsidP="003B5F0C">
      <w:pPr>
        <w:tabs>
          <w:tab w:val="left" w:pos="360"/>
        </w:tabs>
        <w:suppressAutoHyphens/>
        <w:spacing w:after="0"/>
        <w:jc w:val="both"/>
        <w:rPr>
          <w:sz w:val="20"/>
          <w:szCs w:val="20"/>
          <w:lang w:eastAsia="ar-SA"/>
        </w:rPr>
      </w:pPr>
    </w:p>
    <w:p w14:paraId="428B5760" w14:textId="4BB2C13E" w:rsidR="00B126FC" w:rsidRPr="00CD2A61" w:rsidRDefault="00B126FC" w:rsidP="002A1D72">
      <w:pPr>
        <w:tabs>
          <w:tab w:val="left" w:pos="360"/>
        </w:tabs>
        <w:suppressAutoHyphens/>
        <w:spacing w:after="0"/>
        <w:jc w:val="both"/>
        <w:rPr>
          <w:rFonts w:cs="Arial"/>
          <w:sz w:val="20"/>
          <w:szCs w:val="20"/>
          <w:lang w:eastAsia="ar-SA"/>
        </w:rPr>
      </w:pPr>
      <w:r w:rsidRPr="00CD2A61">
        <w:rPr>
          <w:rFonts w:cs="Arial"/>
          <w:sz w:val="20"/>
          <w:szCs w:val="20"/>
          <w:lang w:eastAsia="ar-SA"/>
        </w:rPr>
        <w:t>Požiarne zaťaženie podľa projektu stavby tvoria:</w:t>
      </w:r>
    </w:p>
    <w:tbl>
      <w:tblPr>
        <w:tblW w:w="7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1446"/>
        <w:gridCol w:w="2126"/>
        <w:gridCol w:w="2127"/>
      </w:tblGrid>
      <w:tr w:rsidR="002A1D72" w:rsidRPr="00CD2A61" w14:paraId="14DFEC3C" w14:textId="60BFFFFC" w:rsidTr="00654AA4">
        <w:trPr>
          <w:trHeight w:hRule="exact" w:val="369"/>
        </w:trPr>
        <w:tc>
          <w:tcPr>
            <w:tcW w:w="2093" w:type="dxa"/>
            <w:tcBorders>
              <w:bottom w:val="single" w:sz="4" w:space="0" w:color="000000"/>
            </w:tcBorders>
            <w:vAlign w:val="center"/>
          </w:tcPr>
          <w:p w14:paraId="043EAB30" w14:textId="1FEC86FA" w:rsidR="002A1D72" w:rsidRPr="00923AE6" w:rsidRDefault="002A1D72" w:rsidP="002A1D72">
            <w:pPr>
              <w:tabs>
                <w:tab w:val="left" w:pos="360"/>
              </w:tabs>
              <w:suppressAutoHyphens/>
              <w:jc w:val="both"/>
              <w:rPr>
                <w:rFonts w:cs="TimesNewRomanPSMT"/>
                <w:sz w:val="18"/>
                <w:szCs w:val="18"/>
                <w:lang w:eastAsia="sk-SK"/>
              </w:rPr>
            </w:pPr>
            <w:r w:rsidRPr="00923AE6">
              <w:rPr>
                <w:rFonts w:cs="TimesNewRomanPSMT"/>
                <w:sz w:val="18"/>
                <w:szCs w:val="18"/>
                <w:lang w:eastAsia="sk-SK"/>
              </w:rPr>
              <w:t>Názov horľaviny</w:t>
            </w:r>
          </w:p>
        </w:tc>
        <w:tc>
          <w:tcPr>
            <w:tcW w:w="1446" w:type="dxa"/>
            <w:vAlign w:val="center"/>
          </w:tcPr>
          <w:p w14:paraId="6B227912" w14:textId="1B63D029" w:rsidR="002A1D72" w:rsidRPr="00923AE6" w:rsidRDefault="002A1D72" w:rsidP="002A1D72">
            <w:pPr>
              <w:tabs>
                <w:tab w:val="left" w:pos="360"/>
              </w:tabs>
              <w:suppressAutoHyphens/>
              <w:jc w:val="both"/>
              <w:rPr>
                <w:sz w:val="18"/>
                <w:szCs w:val="18"/>
                <w:lang w:eastAsia="ar-SA"/>
              </w:rPr>
            </w:pPr>
            <w:r w:rsidRPr="00923AE6">
              <w:rPr>
                <w:sz w:val="18"/>
                <w:szCs w:val="18"/>
                <w:lang w:eastAsia="ar-SA"/>
              </w:rPr>
              <w:t>Množstvo (kus)</w:t>
            </w:r>
          </w:p>
        </w:tc>
        <w:tc>
          <w:tcPr>
            <w:tcW w:w="2126" w:type="dxa"/>
            <w:vAlign w:val="center"/>
          </w:tcPr>
          <w:p w14:paraId="60663361" w14:textId="6FCDD6C9" w:rsidR="002A1D72" w:rsidRPr="00923AE6" w:rsidRDefault="002A1D72" w:rsidP="002A1D72">
            <w:pPr>
              <w:tabs>
                <w:tab w:val="left" w:pos="360"/>
              </w:tabs>
              <w:suppressAutoHyphens/>
              <w:jc w:val="both"/>
              <w:rPr>
                <w:sz w:val="18"/>
                <w:szCs w:val="18"/>
                <w:lang w:eastAsia="ar-SA"/>
              </w:rPr>
            </w:pPr>
            <w:r w:rsidRPr="00923AE6">
              <w:rPr>
                <w:sz w:val="18"/>
                <w:szCs w:val="18"/>
                <w:lang w:eastAsia="ar-SA"/>
              </w:rPr>
              <w:t>Hmotnosť / kus  (kg)</w:t>
            </w:r>
          </w:p>
        </w:tc>
        <w:tc>
          <w:tcPr>
            <w:tcW w:w="2127" w:type="dxa"/>
            <w:vAlign w:val="center"/>
          </w:tcPr>
          <w:p w14:paraId="40CC4FF9" w14:textId="5D008007" w:rsidR="002A1D72" w:rsidRPr="00923AE6" w:rsidRDefault="002A1D72" w:rsidP="002A1D72">
            <w:pPr>
              <w:tabs>
                <w:tab w:val="left" w:pos="360"/>
              </w:tabs>
              <w:suppressAutoHyphens/>
              <w:jc w:val="both"/>
              <w:rPr>
                <w:sz w:val="18"/>
                <w:szCs w:val="18"/>
                <w:lang w:eastAsia="ar-SA"/>
              </w:rPr>
            </w:pPr>
            <w:r w:rsidRPr="00923AE6">
              <w:rPr>
                <w:sz w:val="18"/>
                <w:szCs w:val="18"/>
                <w:lang w:eastAsia="ar-SA"/>
              </w:rPr>
              <w:t>Hmotnosť (kg)</w:t>
            </w:r>
          </w:p>
        </w:tc>
      </w:tr>
      <w:tr w:rsidR="002A1D72" w:rsidRPr="00CD2A61" w14:paraId="7A68F90A" w14:textId="1011FFCA" w:rsidTr="00B44BFA">
        <w:trPr>
          <w:trHeight w:hRule="exact" w:val="369"/>
        </w:trPr>
        <w:tc>
          <w:tcPr>
            <w:tcW w:w="2093" w:type="dxa"/>
            <w:vAlign w:val="center"/>
          </w:tcPr>
          <w:p w14:paraId="6D766660" w14:textId="388F8C07" w:rsidR="002A1D72" w:rsidRPr="00923AE6" w:rsidRDefault="002A1D72" w:rsidP="002A1D72">
            <w:pPr>
              <w:tabs>
                <w:tab w:val="left" w:pos="360"/>
              </w:tabs>
              <w:suppressAutoHyphens/>
              <w:jc w:val="both"/>
              <w:rPr>
                <w:rFonts w:cs="TimesNewRomanPSMT"/>
                <w:sz w:val="18"/>
                <w:szCs w:val="18"/>
                <w:lang w:eastAsia="sk-SK"/>
              </w:rPr>
            </w:pPr>
            <w:r w:rsidRPr="00923AE6">
              <w:rPr>
                <w:rFonts w:cs="TimesNewRomanPSMT"/>
                <w:sz w:val="18"/>
                <w:szCs w:val="18"/>
                <w:lang w:eastAsia="sk-SK"/>
              </w:rPr>
              <w:t>drevená debňa</w:t>
            </w:r>
          </w:p>
        </w:tc>
        <w:tc>
          <w:tcPr>
            <w:tcW w:w="1446" w:type="dxa"/>
            <w:vAlign w:val="center"/>
          </w:tcPr>
          <w:p w14:paraId="419AE0BA" w14:textId="344BBA2C" w:rsidR="002A1D72" w:rsidRPr="00923AE6" w:rsidRDefault="00FE37D3" w:rsidP="002A1D72">
            <w:pPr>
              <w:tabs>
                <w:tab w:val="left" w:pos="360"/>
              </w:tabs>
              <w:suppressAutoHyphens/>
              <w:jc w:val="center"/>
              <w:rPr>
                <w:rFonts w:cs="TimesNewRomanPSMT"/>
                <w:sz w:val="18"/>
                <w:szCs w:val="18"/>
                <w:lang w:eastAsia="sk-SK"/>
              </w:rPr>
            </w:pPr>
            <w:r>
              <w:rPr>
                <w:rFonts w:cs="TimesNewRomanPSMT"/>
                <w:sz w:val="18"/>
                <w:szCs w:val="18"/>
                <w:lang w:eastAsia="sk-SK"/>
              </w:rPr>
              <w:t>160</w:t>
            </w:r>
          </w:p>
        </w:tc>
        <w:tc>
          <w:tcPr>
            <w:tcW w:w="2126" w:type="dxa"/>
            <w:vAlign w:val="center"/>
          </w:tcPr>
          <w:p w14:paraId="4D82286D" w14:textId="4BF348C7" w:rsidR="002A1D72" w:rsidRPr="00923AE6" w:rsidRDefault="002A1D72" w:rsidP="002A1D72">
            <w:pPr>
              <w:tabs>
                <w:tab w:val="left" w:pos="360"/>
              </w:tabs>
              <w:suppressAutoHyphens/>
              <w:jc w:val="center"/>
              <w:rPr>
                <w:rFonts w:cs="TimesNewRomanPSMT"/>
                <w:sz w:val="18"/>
                <w:szCs w:val="18"/>
                <w:lang w:eastAsia="sk-SK"/>
              </w:rPr>
            </w:pPr>
            <w:r w:rsidRPr="00923AE6">
              <w:rPr>
                <w:rFonts w:cs="TimesNewRomanPSMT"/>
                <w:sz w:val="18"/>
                <w:szCs w:val="18"/>
                <w:lang w:eastAsia="sk-SK"/>
              </w:rPr>
              <w:t>42</w:t>
            </w:r>
          </w:p>
        </w:tc>
        <w:tc>
          <w:tcPr>
            <w:tcW w:w="2127" w:type="dxa"/>
            <w:vAlign w:val="center"/>
          </w:tcPr>
          <w:p w14:paraId="1D8E9125" w14:textId="74C18A3B" w:rsidR="002A1D72" w:rsidRPr="00923AE6" w:rsidRDefault="00FE37D3" w:rsidP="002A1D72">
            <w:pPr>
              <w:tabs>
                <w:tab w:val="left" w:pos="360"/>
              </w:tabs>
              <w:suppressAutoHyphens/>
              <w:jc w:val="center"/>
              <w:rPr>
                <w:rFonts w:cs="TimesNewRomanPSMT"/>
                <w:sz w:val="18"/>
                <w:szCs w:val="18"/>
                <w:lang w:eastAsia="sk-SK"/>
              </w:rPr>
            </w:pPr>
            <w:r>
              <w:rPr>
                <w:rFonts w:cs="TimesNewRomanPSMT"/>
                <w:sz w:val="18"/>
                <w:szCs w:val="18"/>
                <w:lang w:eastAsia="sk-SK"/>
              </w:rPr>
              <w:t>6750</w:t>
            </w:r>
          </w:p>
        </w:tc>
      </w:tr>
    </w:tbl>
    <w:p w14:paraId="73185A9A" w14:textId="77777777" w:rsidR="00B86B20" w:rsidRPr="00CD2A61" w:rsidRDefault="00B86B20" w:rsidP="00923AE6">
      <w:pPr>
        <w:tabs>
          <w:tab w:val="left" w:pos="426"/>
        </w:tabs>
        <w:suppressAutoHyphens/>
        <w:spacing w:after="0" w:line="240" w:lineRule="auto"/>
        <w:jc w:val="both"/>
        <w:rPr>
          <w:sz w:val="20"/>
          <w:szCs w:val="20"/>
          <w:lang w:val="cs-CZ" w:eastAsia="ar-SA"/>
        </w:rPr>
      </w:pPr>
    </w:p>
    <w:p w14:paraId="39985ABF" w14:textId="13DE2F6F" w:rsidR="00B126FC" w:rsidRPr="00CD2A61" w:rsidRDefault="00B126FC" w:rsidP="00923AE6">
      <w:pPr>
        <w:tabs>
          <w:tab w:val="left" w:pos="426"/>
        </w:tabs>
        <w:suppressAutoHyphens/>
        <w:spacing w:after="0" w:line="240" w:lineRule="auto"/>
        <w:jc w:val="both"/>
        <w:rPr>
          <w:sz w:val="20"/>
          <w:szCs w:val="20"/>
          <w:lang w:val="cs-CZ" w:eastAsia="ar-SA"/>
        </w:rPr>
      </w:pPr>
      <w:r w:rsidRPr="00CD2A61">
        <w:rPr>
          <w:sz w:val="20"/>
          <w:szCs w:val="20"/>
          <w:lang w:val="cs-CZ" w:eastAsia="ar-SA"/>
        </w:rPr>
        <w:t xml:space="preserve">         0,8 x p</w:t>
      </w:r>
      <w:r w:rsidRPr="00CD2A61">
        <w:rPr>
          <w:rFonts w:cs="Arial"/>
          <w:sz w:val="20"/>
          <w:szCs w:val="20"/>
          <w:lang w:val="cs-CZ" w:eastAsia="ar-SA"/>
        </w:rPr>
        <w:t>̅ x k</w:t>
      </w:r>
      <w:r w:rsidRPr="00CD2A61">
        <w:rPr>
          <w:rFonts w:cs="Arial"/>
          <w:sz w:val="20"/>
          <w:szCs w:val="20"/>
          <w:vertAlign w:val="subscript"/>
          <w:lang w:val="cs-CZ" w:eastAsia="ar-SA"/>
        </w:rPr>
        <w:t>1</w:t>
      </w:r>
      <w:r w:rsidRPr="00CD2A61">
        <w:rPr>
          <w:rFonts w:cs="Arial"/>
          <w:sz w:val="20"/>
          <w:szCs w:val="20"/>
          <w:lang w:val="cs-CZ" w:eastAsia="ar-SA"/>
        </w:rPr>
        <w:t xml:space="preserve">       </w:t>
      </w:r>
      <w:r w:rsidR="00502FC4">
        <w:rPr>
          <w:rFonts w:cs="Arial"/>
          <w:sz w:val="20"/>
          <w:szCs w:val="20"/>
          <w:lang w:val="cs-CZ" w:eastAsia="ar-SA"/>
        </w:rPr>
        <w:t xml:space="preserve"> </w:t>
      </w:r>
      <w:r w:rsidRPr="00CD2A61">
        <w:rPr>
          <w:rFonts w:cs="Arial"/>
          <w:sz w:val="20"/>
          <w:szCs w:val="20"/>
          <w:lang w:val="cs-CZ" w:eastAsia="ar-SA"/>
        </w:rPr>
        <w:t xml:space="preserve">0,8 x </w:t>
      </w:r>
      <w:r w:rsidR="00900F50">
        <w:rPr>
          <w:rFonts w:cs="Arial"/>
          <w:sz w:val="20"/>
          <w:szCs w:val="20"/>
          <w:lang w:val="cs-CZ" w:eastAsia="ar-SA"/>
        </w:rPr>
        <w:t>9,9</w:t>
      </w:r>
      <w:r w:rsidRPr="00CD2A61">
        <w:rPr>
          <w:rFonts w:cs="Arial"/>
          <w:sz w:val="20"/>
          <w:szCs w:val="20"/>
          <w:lang w:val="cs-CZ" w:eastAsia="ar-SA"/>
        </w:rPr>
        <w:t xml:space="preserve"> x 0,8</w:t>
      </w:r>
      <w:r w:rsidR="00900F50">
        <w:rPr>
          <w:rFonts w:cs="Arial"/>
          <w:sz w:val="20"/>
          <w:szCs w:val="20"/>
          <w:lang w:val="cs-CZ" w:eastAsia="ar-SA"/>
        </w:rPr>
        <w:t>7</w:t>
      </w:r>
      <w:r w:rsidRPr="00CD2A61">
        <w:rPr>
          <w:rFonts w:cs="Arial"/>
          <w:sz w:val="20"/>
          <w:szCs w:val="20"/>
          <w:lang w:val="cs-CZ" w:eastAsia="ar-SA"/>
        </w:rPr>
        <w:t xml:space="preserve">                               </w:t>
      </w:r>
      <w:r w:rsidRPr="00CD2A61">
        <w:rPr>
          <w:sz w:val="20"/>
          <w:szCs w:val="20"/>
          <w:lang w:val="cs-CZ" w:eastAsia="ar-SA"/>
        </w:rPr>
        <w:t>_                             _</w:t>
      </w:r>
    </w:p>
    <w:p w14:paraId="24DE2768" w14:textId="0335F71B" w:rsidR="00B126FC" w:rsidRPr="00CD2A61" w:rsidRDefault="00B126FC" w:rsidP="00516D14">
      <w:pPr>
        <w:tabs>
          <w:tab w:val="left" w:pos="426"/>
        </w:tabs>
        <w:suppressAutoHyphens/>
        <w:spacing w:after="0"/>
        <w:jc w:val="both"/>
        <w:rPr>
          <w:sz w:val="20"/>
          <w:szCs w:val="20"/>
          <w:lang w:val="cs-CZ" w:eastAsia="ar-SA"/>
        </w:rPr>
      </w:pPr>
      <w:r w:rsidRPr="00CD2A61">
        <w:rPr>
          <w:rFonts w:cs="Arial"/>
          <w:sz w:val="20"/>
          <w:szCs w:val="20"/>
          <w:lang w:val="cs-CZ" w:eastAsia="ar-SA"/>
        </w:rPr>
        <w:t>ԏ</w:t>
      </w:r>
      <w:r w:rsidRPr="00CD2A61">
        <w:rPr>
          <w:sz w:val="20"/>
          <w:szCs w:val="20"/>
          <w:lang w:val="cs-CZ" w:eastAsia="ar-SA"/>
        </w:rPr>
        <w:t xml:space="preserve"> = ------------------ = -----------------------</w:t>
      </w:r>
      <w:r w:rsidR="00516D14" w:rsidRPr="00CD2A61">
        <w:rPr>
          <w:sz w:val="20"/>
          <w:szCs w:val="20"/>
          <w:lang w:val="cs-CZ" w:eastAsia="ar-SA"/>
        </w:rPr>
        <w:t>--</w:t>
      </w:r>
      <w:r w:rsidRPr="00CD2A61">
        <w:rPr>
          <w:sz w:val="20"/>
          <w:szCs w:val="20"/>
          <w:lang w:val="cs-CZ" w:eastAsia="ar-SA"/>
        </w:rPr>
        <w:t xml:space="preserve"> = </w:t>
      </w:r>
      <w:r w:rsidR="00900F50">
        <w:rPr>
          <w:sz w:val="20"/>
          <w:szCs w:val="20"/>
          <w:lang w:val="cs-CZ" w:eastAsia="ar-SA"/>
        </w:rPr>
        <w:t>31,32</w:t>
      </w:r>
      <w:r w:rsidRPr="00CD2A61">
        <w:rPr>
          <w:sz w:val="20"/>
          <w:szCs w:val="20"/>
          <w:lang w:val="cs-CZ" w:eastAsia="ar-SA"/>
        </w:rPr>
        <w:t xml:space="preserve">      →      </w:t>
      </w:r>
      <w:r w:rsidRPr="00CD2A61">
        <w:rPr>
          <w:rFonts w:cs="Arial"/>
          <w:sz w:val="20"/>
          <w:szCs w:val="20"/>
          <w:lang w:val="cs-CZ" w:eastAsia="ar-SA"/>
        </w:rPr>
        <w:t>ԏ</w:t>
      </w:r>
      <w:r w:rsidRPr="00CD2A61">
        <w:rPr>
          <w:rFonts w:cs="Arial"/>
          <w:sz w:val="20"/>
          <w:szCs w:val="20"/>
          <w:vertAlign w:val="subscript"/>
          <w:lang w:val="cs-CZ" w:eastAsia="ar-SA"/>
        </w:rPr>
        <w:t>e</w:t>
      </w:r>
      <w:r w:rsidRPr="00CD2A61">
        <w:rPr>
          <w:sz w:val="20"/>
          <w:szCs w:val="20"/>
          <w:lang w:val="cs-CZ" w:eastAsia="ar-SA"/>
        </w:rPr>
        <w:t xml:space="preserve"> = </w:t>
      </w:r>
      <w:r w:rsidR="00534B2B">
        <w:rPr>
          <w:sz w:val="20"/>
          <w:szCs w:val="20"/>
          <w:lang w:val="cs-CZ" w:eastAsia="ar-SA"/>
        </w:rPr>
        <w:t>15,5</w:t>
      </w:r>
      <w:r w:rsidRPr="00CD2A61">
        <w:rPr>
          <w:sz w:val="20"/>
          <w:szCs w:val="20"/>
          <w:lang w:val="cs-CZ" w:eastAsia="ar-SA"/>
        </w:rPr>
        <w:t xml:space="preserve">     →      </w:t>
      </w:r>
      <w:r w:rsidRPr="00CD2A61">
        <w:rPr>
          <w:rFonts w:cs="Arial"/>
          <w:sz w:val="20"/>
          <w:szCs w:val="20"/>
          <w:lang w:val="cs-CZ" w:eastAsia="ar-SA"/>
        </w:rPr>
        <w:t>ԏ</w:t>
      </w:r>
      <w:r w:rsidRPr="00CD2A61">
        <w:rPr>
          <w:rFonts w:cs="Arial"/>
          <w:sz w:val="20"/>
          <w:szCs w:val="20"/>
          <w:vertAlign w:val="subscript"/>
          <w:lang w:val="cs-CZ" w:eastAsia="ar-SA"/>
        </w:rPr>
        <w:t xml:space="preserve">e </w:t>
      </w:r>
      <w:r w:rsidRPr="00CD2A61">
        <w:rPr>
          <w:rFonts w:cs="Arial"/>
          <w:sz w:val="20"/>
          <w:szCs w:val="20"/>
          <w:lang w:val="cs-CZ" w:eastAsia="ar-SA"/>
        </w:rPr>
        <w:t>x k</w:t>
      </w:r>
      <w:r w:rsidRPr="00CD2A61">
        <w:rPr>
          <w:rFonts w:cs="Arial"/>
          <w:sz w:val="20"/>
          <w:szCs w:val="20"/>
          <w:vertAlign w:val="subscript"/>
          <w:lang w:val="cs-CZ" w:eastAsia="ar-SA"/>
        </w:rPr>
        <w:t>8</w:t>
      </w:r>
      <w:r w:rsidRPr="00CD2A61">
        <w:rPr>
          <w:rFonts w:cs="Arial"/>
          <w:sz w:val="20"/>
          <w:szCs w:val="20"/>
          <w:lang w:val="cs-CZ" w:eastAsia="ar-SA"/>
        </w:rPr>
        <w:t xml:space="preserve"> =</w:t>
      </w:r>
      <w:r w:rsidRPr="00CD2A61">
        <w:rPr>
          <w:rFonts w:cs="Arial"/>
          <w:sz w:val="20"/>
          <w:szCs w:val="20"/>
          <w:vertAlign w:val="subscript"/>
          <w:lang w:val="cs-CZ" w:eastAsia="ar-SA"/>
        </w:rPr>
        <w:t xml:space="preserve"> </w:t>
      </w:r>
      <w:r w:rsidR="00534B2B">
        <w:rPr>
          <w:rFonts w:cs="Arial"/>
          <w:sz w:val="20"/>
          <w:szCs w:val="20"/>
          <w:lang w:val="cs-CZ" w:eastAsia="ar-SA"/>
        </w:rPr>
        <w:t>6,46</w:t>
      </w:r>
    </w:p>
    <w:p w14:paraId="386D36FD" w14:textId="511756EA" w:rsidR="00B126FC" w:rsidRPr="00CD2A61" w:rsidRDefault="00B126FC" w:rsidP="00923AE6">
      <w:pPr>
        <w:tabs>
          <w:tab w:val="left" w:pos="426"/>
        </w:tabs>
        <w:suppressAutoHyphens/>
        <w:spacing w:after="0" w:line="240" w:lineRule="auto"/>
        <w:jc w:val="both"/>
        <w:rPr>
          <w:sz w:val="20"/>
          <w:szCs w:val="20"/>
          <w:lang w:val="cs-CZ" w:eastAsia="ar-SA"/>
        </w:rPr>
      </w:pPr>
      <w:r w:rsidRPr="00CD2A61">
        <w:rPr>
          <w:sz w:val="20"/>
          <w:szCs w:val="20"/>
          <w:lang w:val="cs-CZ" w:eastAsia="ar-SA"/>
        </w:rPr>
        <w:t xml:space="preserve">                  v</w:t>
      </w:r>
      <w:r w:rsidRPr="00CD2A61">
        <w:rPr>
          <w:sz w:val="20"/>
          <w:szCs w:val="20"/>
          <w:vertAlign w:val="subscript"/>
          <w:lang w:val="cs-CZ" w:eastAsia="ar-SA"/>
        </w:rPr>
        <w:t>v</w:t>
      </w:r>
      <w:r w:rsidRPr="00CD2A61">
        <w:rPr>
          <w:sz w:val="20"/>
          <w:szCs w:val="20"/>
          <w:vertAlign w:val="superscript"/>
          <w:lang w:val="cs-CZ" w:eastAsia="ar-SA"/>
        </w:rPr>
        <w:t xml:space="preserve"> </w:t>
      </w:r>
      <w:r w:rsidRPr="00CD2A61">
        <w:rPr>
          <w:sz w:val="20"/>
          <w:szCs w:val="20"/>
          <w:lang w:val="cs-CZ" w:eastAsia="ar-SA"/>
        </w:rPr>
        <w:t xml:space="preserve">                     </w:t>
      </w:r>
      <w:r w:rsidR="00516D14" w:rsidRPr="00CD2A61">
        <w:rPr>
          <w:sz w:val="20"/>
          <w:szCs w:val="20"/>
          <w:lang w:val="cs-CZ" w:eastAsia="ar-SA"/>
        </w:rPr>
        <w:t xml:space="preserve">   </w:t>
      </w:r>
      <w:r w:rsidRPr="00CD2A61">
        <w:rPr>
          <w:sz w:val="20"/>
          <w:szCs w:val="20"/>
          <w:lang w:val="cs-CZ" w:eastAsia="ar-SA"/>
        </w:rPr>
        <w:t>0,</w:t>
      </w:r>
      <w:r w:rsidR="00900F50">
        <w:rPr>
          <w:sz w:val="20"/>
          <w:szCs w:val="20"/>
          <w:lang w:val="cs-CZ" w:eastAsia="ar-SA"/>
        </w:rPr>
        <w:t>22</w:t>
      </w:r>
    </w:p>
    <w:p w14:paraId="45F50849" w14:textId="77777777" w:rsidR="002872EB" w:rsidRPr="00CD2A61" w:rsidRDefault="002872EB" w:rsidP="00923AE6">
      <w:pPr>
        <w:tabs>
          <w:tab w:val="left" w:pos="426"/>
        </w:tabs>
        <w:suppressAutoHyphens/>
        <w:spacing w:after="0" w:line="240" w:lineRule="auto"/>
        <w:jc w:val="both"/>
        <w:rPr>
          <w:sz w:val="20"/>
          <w:szCs w:val="20"/>
          <w:lang w:val="cs-CZ" w:eastAsia="ar-SA"/>
        </w:rPr>
      </w:pPr>
    </w:p>
    <w:p w14:paraId="50E3698A" w14:textId="77777777" w:rsidR="00B126FC" w:rsidRPr="00CD2A61" w:rsidRDefault="00B126FC" w:rsidP="00923AE6">
      <w:pPr>
        <w:tabs>
          <w:tab w:val="left" w:pos="426"/>
        </w:tabs>
        <w:suppressAutoHyphens/>
        <w:spacing w:after="0" w:line="240" w:lineRule="auto"/>
        <w:jc w:val="both"/>
        <w:rPr>
          <w:rFonts w:cs="Calibri"/>
          <w:b/>
          <w:sz w:val="20"/>
          <w:szCs w:val="20"/>
          <w:lang w:eastAsia="ar-SA"/>
        </w:rPr>
      </w:pPr>
      <w:r w:rsidRPr="00CD2A61">
        <w:rPr>
          <w:rFonts w:cs="Calibri"/>
          <w:sz w:val="20"/>
          <w:szCs w:val="20"/>
          <w:lang w:eastAsia="ar-SA"/>
        </w:rPr>
        <w:t xml:space="preserve">Podľa STN 920201–2, tab.1. požiarny úsek </w:t>
      </w:r>
      <w:r w:rsidRPr="00CD2A61">
        <w:rPr>
          <w:rFonts w:cs="Calibri"/>
          <w:b/>
          <w:bCs/>
          <w:sz w:val="20"/>
          <w:szCs w:val="20"/>
          <w:lang w:eastAsia="ar-SA"/>
        </w:rPr>
        <w:t>N1.01</w:t>
      </w:r>
      <w:r w:rsidRPr="00CD2A61">
        <w:rPr>
          <w:rFonts w:cs="Calibri"/>
          <w:sz w:val="20"/>
          <w:szCs w:val="20"/>
          <w:lang w:eastAsia="ar-SA"/>
        </w:rPr>
        <w:t xml:space="preserve"> bude zaradený do </w:t>
      </w:r>
      <w:r w:rsidRPr="00CD2A61">
        <w:rPr>
          <w:rFonts w:cs="Calibri"/>
          <w:b/>
          <w:bCs/>
          <w:sz w:val="20"/>
          <w:szCs w:val="20"/>
          <w:lang w:eastAsia="ar-SA"/>
        </w:rPr>
        <w:t>SPB I</w:t>
      </w:r>
      <w:r w:rsidRPr="00CD2A61">
        <w:rPr>
          <w:rFonts w:cs="Calibri"/>
          <w:sz w:val="20"/>
          <w:szCs w:val="20"/>
          <w:lang w:eastAsia="ar-SA"/>
        </w:rPr>
        <w:t>.</w:t>
      </w:r>
    </w:p>
    <w:p w14:paraId="4C87C88D" w14:textId="77777777" w:rsidR="009B3ABC" w:rsidRPr="00923AE6" w:rsidRDefault="009B3ABC" w:rsidP="00923AE6">
      <w:pPr>
        <w:spacing w:after="0"/>
        <w:jc w:val="both"/>
        <w:rPr>
          <w:rFonts w:cstheme="minorHAnsi"/>
          <w:b/>
          <w:sz w:val="20"/>
          <w:szCs w:val="20"/>
        </w:rPr>
      </w:pPr>
    </w:p>
    <w:p w14:paraId="4C87C88E" w14:textId="77777777" w:rsidR="00D762FA" w:rsidRPr="00CD2A61" w:rsidRDefault="00D762FA" w:rsidP="004C2CCB">
      <w:pPr>
        <w:pStyle w:val="Listaszerbekezds"/>
        <w:numPr>
          <w:ilvl w:val="1"/>
          <w:numId w:val="7"/>
        </w:numPr>
        <w:spacing w:after="0"/>
        <w:ind w:left="1134" w:hanging="567"/>
        <w:jc w:val="both"/>
        <w:rPr>
          <w:rFonts w:cstheme="minorHAnsi"/>
          <w:b/>
          <w:sz w:val="20"/>
          <w:szCs w:val="20"/>
        </w:rPr>
      </w:pPr>
      <w:r w:rsidRPr="00CD2A61">
        <w:rPr>
          <w:rFonts w:cstheme="minorHAnsi"/>
          <w:b/>
          <w:sz w:val="20"/>
          <w:szCs w:val="20"/>
        </w:rPr>
        <w:t>Veľkosť PÚ</w:t>
      </w:r>
    </w:p>
    <w:p w14:paraId="4C87C88F" w14:textId="77777777" w:rsidR="005D0011" w:rsidRPr="00CD2A61" w:rsidRDefault="005D0011" w:rsidP="00346200">
      <w:pPr>
        <w:pStyle w:val="Listaszerbekezds"/>
        <w:spacing w:after="0" w:line="240" w:lineRule="auto"/>
        <w:ind w:left="794"/>
        <w:jc w:val="both"/>
        <w:rPr>
          <w:rFonts w:cstheme="minorHAnsi"/>
          <w:sz w:val="20"/>
          <w:szCs w:val="20"/>
        </w:rPr>
      </w:pPr>
    </w:p>
    <w:p w14:paraId="4C87C890" w14:textId="3E7EF646" w:rsidR="00AE4BC5" w:rsidRPr="00346200" w:rsidRDefault="002B4DF8" w:rsidP="00346200">
      <w:pPr>
        <w:spacing w:after="0" w:line="240" w:lineRule="auto"/>
        <w:jc w:val="both"/>
        <w:rPr>
          <w:rFonts w:cstheme="minorHAnsi"/>
          <w:sz w:val="20"/>
          <w:szCs w:val="20"/>
        </w:rPr>
      </w:pPr>
      <w:r w:rsidRPr="00346200">
        <w:rPr>
          <w:rFonts w:cstheme="minorHAnsi"/>
          <w:sz w:val="20"/>
          <w:szCs w:val="20"/>
        </w:rPr>
        <w:t>Najväčšia dovolená veľkosť pôdorysnej plochy PÚ je určená pomocou STN 92 0201-1 čl. 4.</w:t>
      </w:r>
      <w:r w:rsidR="0048735B" w:rsidRPr="00346200">
        <w:rPr>
          <w:rFonts w:cstheme="minorHAnsi"/>
          <w:sz w:val="20"/>
          <w:szCs w:val="20"/>
        </w:rPr>
        <w:t>3</w:t>
      </w:r>
      <w:r w:rsidRPr="00346200">
        <w:rPr>
          <w:rFonts w:cstheme="minorHAnsi"/>
          <w:sz w:val="20"/>
          <w:szCs w:val="20"/>
        </w:rPr>
        <w:t xml:space="preserve">. </w:t>
      </w:r>
    </w:p>
    <w:p w14:paraId="27BAA4C9" w14:textId="77777777" w:rsidR="0048735B" w:rsidRPr="00CD2A61" w:rsidRDefault="0048735B" w:rsidP="00346200">
      <w:pPr>
        <w:pStyle w:val="Listaszerbekezds"/>
        <w:spacing w:after="0" w:line="240" w:lineRule="auto"/>
        <w:ind w:left="0" w:firstLine="567"/>
        <w:jc w:val="both"/>
        <w:rPr>
          <w:rFonts w:cstheme="minorHAnsi"/>
          <w:sz w:val="20"/>
          <w:szCs w:val="20"/>
        </w:rPr>
      </w:pPr>
    </w:p>
    <w:p w14:paraId="711C1E7F" w14:textId="522B2ACB" w:rsidR="0048735B" w:rsidRPr="00CD2A61" w:rsidRDefault="0048735B" w:rsidP="00346200">
      <w:pPr>
        <w:tabs>
          <w:tab w:val="left" w:pos="426"/>
        </w:tabs>
        <w:suppressAutoHyphens/>
        <w:spacing w:after="0" w:line="240" w:lineRule="auto"/>
        <w:jc w:val="both"/>
        <w:rPr>
          <w:sz w:val="20"/>
          <w:szCs w:val="20"/>
          <w:lang w:val="cs-CZ" w:eastAsia="ar-SA"/>
        </w:rPr>
      </w:pPr>
      <w:r w:rsidRPr="00CD2A61">
        <w:rPr>
          <w:sz w:val="20"/>
          <w:szCs w:val="20"/>
          <w:lang w:val="cs-CZ" w:eastAsia="ar-SA"/>
        </w:rPr>
        <w:t xml:space="preserve">                      P</w:t>
      </w:r>
      <w:r w:rsidRPr="00CD2A61">
        <w:rPr>
          <w:sz w:val="20"/>
          <w:szCs w:val="20"/>
          <w:vertAlign w:val="subscript"/>
          <w:lang w:val="cs-CZ" w:eastAsia="ar-SA"/>
        </w:rPr>
        <w:t>2max</w:t>
      </w:r>
      <w:r w:rsidRPr="00CD2A61">
        <w:rPr>
          <w:rFonts w:cs="Arial"/>
          <w:sz w:val="20"/>
          <w:szCs w:val="20"/>
          <w:lang w:val="cs-CZ" w:eastAsia="ar-SA"/>
        </w:rPr>
        <w:t xml:space="preserve">       </w:t>
      </w:r>
    </w:p>
    <w:p w14:paraId="5ECAEE30" w14:textId="6A99957E" w:rsidR="0048735B" w:rsidRPr="00CD2A61" w:rsidRDefault="0048735B" w:rsidP="00346200">
      <w:pPr>
        <w:tabs>
          <w:tab w:val="left" w:pos="426"/>
        </w:tabs>
        <w:suppressAutoHyphens/>
        <w:spacing w:after="0" w:line="240" w:lineRule="auto"/>
        <w:jc w:val="both"/>
        <w:rPr>
          <w:sz w:val="20"/>
          <w:szCs w:val="20"/>
          <w:lang w:val="cs-CZ" w:eastAsia="ar-SA"/>
        </w:rPr>
      </w:pPr>
      <w:r w:rsidRPr="00CD2A61">
        <w:rPr>
          <w:rFonts w:cs="Arial"/>
          <w:sz w:val="20"/>
          <w:szCs w:val="20"/>
          <w:lang w:val="cs-CZ" w:eastAsia="ar-SA"/>
        </w:rPr>
        <w:t>S</w:t>
      </w:r>
      <w:r w:rsidRPr="00CD2A61">
        <w:rPr>
          <w:rFonts w:cs="Arial"/>
          <w:sz w:val="20"/>
          <w:szCs w:val="20"/>
          <w:vertAlign w:val="subscript"/>
          <w:lang w:val="cs-CZ" w:eastAsia="ar-SA"/>
        </w:rPr>
        <w:t>max</w:t>
      </w:r>
      <w:r w:rsidRPr="00CD2A61">
        <w:rPr>
          <w:sz w:val="20"/>
          <w:szCs w:val="20"/>
          <w:lang w:val="cs-CZ" w:eastAsia="ar-SA"/>
        </w:rPr>
        <w:t xml:space="preserve"> = ------------------------ </w:t>
      </w:r>
      <w:r w:rsidRPr="00CD2A61">
        <w:rPr>
          <w:rFonts w:cstheme="minorHAnsi"/>
          <w:sz w:val="20"/>
          <w:szCs w:val="20"/>
          <w:lang w:val="cs-CZ" w:eastAsia="ar-SA"/>
        </w:rPr>
        <w:t>≥</w:t>
      </w:r>
      <w:r w:rsidRPr="00CD2A61">
        <w:rPr>
          <w:sz w:val="20"/>
          <w:szCs w:val="20"/>
          <w:lang w:val="cs-CZ" w:eastAsia="ar-SA"/>
        </w:rPr>
        <w:t xml:space="preserve"> </w:t>
      </w:r>
      <w:r w:rsidR="00395F1B" w:rsidRPr="00CD2A61">
        <w:rPr>
          <w:sz w:val="20"/>
          <w:szCs w:val="20"/>
          <w:lang w:val="cs-CZ" w:eastAsia="ar-SA"/>
        </w:rPr>
        <w:t>S</w:t>
      </w:r>
    </w:p>
    <w:p w14:paraId="65298C47" w14:textId="77777777" w:rsidR="009B7E67" w:rsidRPr="00CD2A61" w:rsidRDefault="0048735B" w:rsidP="00346200">
      <w:pPr>
        <w:tabs>
          <w:tab w:val="left" w:pos="426"/>
        </w:tabs>
        <w:suppressAutoHyphens/>
        <w:spacing w:after="0" w:line="240" w:lineRule="auto"/>
        <w:jc w:val="both"/>
        <w:rPr>
          <w:sz w:val="20"/>
          <w:szCs w:val="20"/>
          <w:lang w:val="cs-CZ" w:eastAsia="ar-SA"/>
        </w:rPr>
      </w:pPr>
      <w:r w:rsidRPr="00CD2A61">
        <w:rPr>
          <w:sz w:val="20"/>
          <w:szCs w:val="20"/>
          <w:lang w:val="cs-CZ" w:eastAsia="ar-SA"/>
        </w:rPr>
        <w:t xml:space="preserve">             P</w:t>
      </w:r>
      <w:r w:rsidRPr="00CD2A61">
        <w:rPr>
          <w:sz w:val="20"/>
          <w:szCs w:val="20"/>
          <w:vertAlign w:val="subscript"/>
          <w:lang w:val="cs-CZ" w:eastAsia="ar-SA"/>
        </w:rPr>
        <w:t>2</w:t>
      </w:r>
      <w:r w:rsidRPr="00CD2A61">
        <w:rPr>
          <w:sz w:val="20"/>
          <w:szCs w:val="20"/>
          <w:lang w:val="cs-CZ" w:eastAsia="ar-SA"/>
        </w:rPr>
        <w:t xml:space="preserve"> x k</w:t>
      </w:r>
      <w:r w:rsidRPr="00CD2A61">
        <w:rPr>
          <w:sz w:val="20"/>
          <w:szCs w:val="20"/>
          <w:vertAlign w:val="subscript"/>
          <w:lang w:val="cs-CZ" w:eastAsia="ar-SA"/>
        </w:rPr>
        <w:t>5</w:t>
      </w:r>
      <w:r w:rsidRPr="00CD2A61">
        <w:rPr>
          <w:sz w:val="20"/>
          <w:szCs w:val="20"/>
          <w:lang w:val="cs-CZ" w:eastAsia="ar-SA"/>
        </w:rPr>
        <w:t xml:space="preserve"> x k</w:t>
      </w:r>
      <w:r w:rsidRPr="00CD2A61">
        <w:rPr>
          <w:sz w:val="20"/>
          <w:szCs w:val="20"/>
          <w:vertAlign w:val="subscript"/>
          <w:lang w:val="cs-CZ" w:eastAsia="ar-SA"/>
        </w:rPr>
        <w:t>6</w:t>
      </w:r>
      <w:r w:rsidRPr="00CD2A61">
        <w:rPr>
          <w:sz w:val="20"/>
          <w:szCs w:val="20"/>
          <w:lang w:val="cs-CZ" w:eastAsia="ar-SA"/>
        </w:rPr>
        <w:t xml:space="preserve"> x k</w:t>
      </w:r>
      <w:r w:rsidRPr="00CD2A61">
        <w:rPr>
          <w:sz w:val="20"/>
          <w:szCs w:val="20"/>
          <w:vertAlign w:val="subscript"/>
          <w:lang w:val="cs-CZ" w:eastAsia="ar-SA"/>
        </w:rPr>
        <w:t>7</w:t>
      </w:r>
      <w:r w:rsidRPr="00CD2A61">
        <w:rPr>
          <w:sz w:val="20"/>
          <w:szCs w:val="20"/>
          <w:lang w:val="cs-CZ" w:eastAsia="ar-SA"/>
        </w:rPr>
        <w:t xml:space="preserve">  </w:t>
      </w:r>
    </w:p>
    <w:p w14:paraId="77CF2F38" w14:textId="77777777" w:rsidR="001D0BC7" w:rsidRPr="00CD2A61" w:rsidRDefault="001D0BC7" w:rsidP="00346200">
      <w:pPr>
        <w:tabs>
          <w:tab w:val="left" w:pos="426"/>
        </w:tabs>
        <w:spacing w:after="0" w:line="240" w:lineRule="auto"/>
        <w:jc w:val="both"/>
        <w:rPr>
          <w:sz w:val="20"/>
          <w:szCs w:val="20"/>
        </w:rPr>
      </w:pPr>
    </w:p>
    <w:p w14:paraId="0B7DCE47" w14:textId="6452C764" w:rsidR="003D465D" w:rsidRPr="00CD2A61" w:rsidRDefault="003D465D" w:rsidP="003D465D">
      <w:pPr>
        <w:tabs>
          <w:tab w:val="left" w:pos="426"/>
        </w:tabs>
        <w:suppressAutoHyphens/>
        <w:spacing w:after="0" w:line="240" w:lineRule="auto"/>
        <w:jc w:val="both"/>
        <w:rPr>
          <w:sz w:val="20"/>
          <w:szCs w:val="20"/>
          <w:lang w:val="cs-CZ" w:eastAsia="ar-SA"/>
        </w:rPr>
      </w:pPr>
      <w:r w:rsidRPr="00CD2A61">
        <w:rPr>
          <w:sz w:val="20"/>
          <w:szCs w:val="20"/>
          <w:lang w:val="cs-CZ" w:eastAsia="ar-SA"/>
        </w:rPr>
        <w:t xml:space="preserve">                   </w:t>
      </w:r>
      <w:r>
        <w:rPr>
          <w:sz w:val="20"/>
          <w:szCs w:val="20"/>
          <w:lang w:val="cs-CZ" w:eastAsia="ar-SA"/>
        </w:rPr>
        <w:t>1 907,9</w:t>
      </w:r>
      <w:r w:rsidRPr="00CD2A61">
        <w:rPr>
          <w:rFonts w:cs="Arial"/>
          <w:sz w:val="20"/>
          <w:szCs w:val="20"/>
          <w:lang w:val="cs-CZ" w:eastAsia="ar-SA"/>
        </w:rPr>
        <w:t xml:space="preserve">   </w:t>
      </w:r>
    </w:p>
    <w:p w14:paraId="745F2E3D" w14:textId="3C1A7264" w:rsidR="003D465D" w:rsidRPr="00CD2A61" w:rsidRDefault="003D465D" w:rsidP="003D465D">
      <w:pPr>
        <w:tabs>
          <w:tab w:val="left" w:pos="426"/>
        </w:tabs>
        <w:suppressAutoHyphens/>
        <w:spacing w:after="0" w:line="240" w:lineRule="auto"/>
        <w:jc w:val="both"/>
        <w:rPr>
          <w:sz w:val="20"/>
          <w:szCs w:val="20"/>
          <w:lang w:val="cs-CZ" w:eastAsia="ar-SA"/>
        </w:rPr>
      </w:pPr>
      <w:r w:rsidRPr="00CD2A61">
        <w:rPr>
          <w:rFonts w:cs="Arial"/>
          <w:sz w:val="20"/>
          <w:szCs w:val="20"/>
          <w:lang w:val="cs-CZ" w:eastAsia="ar-SA"/>
        </w:rPr>
        <w:t>S</w:t>
      </w:r>
      <w:r w:rsidRPr="00CD2A61">
        <w:rPr>
          <w:rFonts w:cs="Arial"/>
          <w:sz w:val="20"/>
          <w:szCs w:val="20"/>
          <w:vertAlign w:val="subscript"/>
          <w:lang w:val="cs-CZ" w:eastAsia="ar-SA"/>
        </w:rPr>
        <w:t>max</w:t>
      </w:r>
      <w:r w:rsidRPr="00CD2A61">
        <w:rPr>
          <w:sz w:val="20"/>
          <w:szCs w:val="20"/>
          <w:lang w:val="cs-CZ" w:eastAsia="ar-SA"/>
        </w:rPr>
        <w:t xml:space="preserve"> = ------------------------ </w:t>
      </w:r>
      <w:r>
        <w:rPr>
          <w:rFonts w:cstheme="minorHAnsi"/>
          <w:sz w:val="20"/>
          <w:szCs w:val="20"/>
          <w:lang w:val="cs-CZ" w:eastAsia="ar-SA"/>
        </w:rPr>
        <w:t>= 13 627,6</w:t>
      </w:r>
    </w:p>
    <w:p w14:paraId="027DE010" w14:textId="3771FAB3" w:rsidR="003D465D" w:rsidRPr="00CD2A61" w:rsidRDefault="003D465D" w:rsidP="003D465D">
      <w:pPr>
        <w:tabs>
          <w:tab w:val="left" w:pos="426"/>
        </w:tabs>
        <w:suppressAutoHyphens/>
        <w:spacing w:after="0" w:line="240" w:lineRule="auto"/>
        <w:jc w:val="both"/>
        <w:rPr>
          <w:sz w:val="20"/>
          <w:szCs w:val="20"/>
          <w:lang w:val="cs-CZ" w:eastAsia="ar-SA"/>
        </w:rPr>
      </w:pPr>
      <w:r w:rsidRPr="00CD2A61">
        <w:rPr>
          <w:sz w:val="20"/>
          <w:szCs w:val="20"/>
          <w:lang w:val="cs-CZ" w:eastAsia="ar-SA"/>
        </w:rPr>
        <w:t xml:space="preserve">             </w:t>
      </w:r>
      <w:r>
        <w:rPr>
          <w:sz w:val="20"/>
          <w:szCs w:val="20"/>
          <w:lang w:val="cs-CZ" w:eastAsia="ar-SA"/>
        </w:rPr>
        <w:t>0,07</w:t>
      </w:r>
      <w:r w:rsidRPr="00CD2A61">
        <w:rPr>
          <w:sz w:val="20"/>
          <w:szCs w:val="20"/>
          <w:lang w:val="cs-CZ" w:eastAsia="ar-SA"/>
        </w:rPr>
        <w:t xml:space="preserve"> x </w:t>
      </w:r>
      <w:r>
        <w:rPr>
          <w:sz w:val="20"/>
          <w:szCs w:val="20"/>
          <w:lang w:val="cs-CZ" w:eastAsia="ar-SA"/>
        </w:rPr>
        <w:t>1</w:t>
      </w:r>
      <w:r w:rsidRPr="00CD2A61">
        <w:rPr>
          <w:sz w:val="20"/>
          <w:szCs w:val="20"/>
          <w:lang w:val="cs-CZ" w:eastAsia="ar-SA"/>
        </w:rPr>
        <w:t xml:space="preserve"> x </w:t>
      </w:r>
      <w:r>
        <w:rPr>
          <w:sz w:val="20"/>
          <w:szCs w:val="20"/>
          <w:lang w:val="cs-CZ" w:eastAsia="ar-SA"/>
        </w:rPr>
        <w:t>1</w:t>
      </w:r>
      <w:r w:rsidRPr="00CD2A61">
        <w:rPr>
          <w:sz w:val="20"/>
          <w:szCs w:val="20"/>
          <w:lang w:val="cs-CZ" w:eastAsia="ar-SA"/>
        </w:rPr>
        <w:t xml:space="preserve"> x </w:t>
      </w:r>
      <w:r>
        <w:rPr>
          <w:sz w:val="20"/>
          <w:szCs w:val="20"/>
          <w:lang w:val="cs-CZ" w:eastAsia="ar-SA"/>
        </w:rPr>
        <w:t>2</w:t>
      </w:r>
      <w:r w:rsidRPr="00CD2A61">
        <w:rPr>
          <w:sz w:val="20"/>
          <w:szCs w:val="20"/>
          <w:lang w:val="cs-CZ" w:eastAsia="ar-SA"/>
        </w:rPr>
        <w:t xml:space="preserve">  </w:t>
      </w:r>
    </w:p>
    <w:p w14:paraId="2E28F875" w14:textId="77777777" w:rsidR="003D465D" w:rsidRDefault="003D465D" w:rsidP="001D0BC7">
      <w:pPr>
        <w:tabs>
          <w:tab w:val="left" w:pos="426"/>
        </w:tabs>
        <w:spacing w:after="0" w:line="240" w:lineRule="auto"/>
        <w:jc w:val="both"/>
        <w:rPr>
          <w:sz w:val="20"/>
          <w:szCs w:val="20"/>
        </w:rPr>
      </w:pPr>
    </w:p>
    <w:p w14:paraId="29B12E94" w14:textId="320969B4" w:rsidR="009B7E67" w:rsidRPr="00CD2A61" w:rsidRDefault="009B7E67" w:rsidP="001D0BC7">
      <w:pPr>
        <w:tabs>
          <w:tab w:val="left" w:pos="426"/>
        </w:tabs>
        <w:spacing w:after="0" w:line="240" w:lineRule="auto"/>
        <w:jc w:val="both"/>
        <w:rPr>
          <w:sz w:val="20"/>
          <w:szCs w:val="20"/>
          <w:vertAlign w:val="superscript"/>
        </w:rPr>
      </w:pPr>
      <w:r w:rsidRPr="00CD2A61">
        <w:rPr>
          <w:sz w:val="20"/>
          <w:szCs w:val="20"/>
        </w:rPr>
        <w:t>S</w:t>
      </w:r>
      <w:r w:rsidRPr="00CD2A61">
        <w:rPr>
          <w:sz w:val="20"/>
          <w:szCs w:val="20"/>
          <w:vertAlign w:val="subscript"/>
        </w:rPr>
        <w:t xml:space="preserve">max  </w:t>
      </w:r>
      <w:r w:rsidRPr="00CD2A61">
        <w:rPr>
          <w:sz w:val="20"/>
          <w:szCs w:val="20"/>
        </w:rPr>
        <w:t xml:space="preserve">       najväčšia dovolená pôdorysná plocha požiarneho úseku v m</w:t>
      </w:r>
      <w:r w:rsidRPr="00CD2A61">
        <w:rPr>
          <w:sz w:val="20"/>
          <w:szCs w:val="20"/>
          <w:vertAlign w:val="superscript"/>
        </w:rPr>
        <w:t>2</w:t>
      </w:r>
    </w:p>
    <w:p w14:paraId="0D54B943" w14:textId="75BABC40" w:rsidR="009B7E67" w:rsidRPr="00CD2A61" w:rsidRDefault="00395F1B" w:rsidP="001D0BC7">
      <w:pPr>
        <w:tabs>
          <w:tab w:val="left" w:pos="426"/>
        </w:tabs>
        <w:spacing w:after="0" w:line="240" w:lineRule="auto"/>
        <w:jc w:val="both"/>
        <w:rPr>
          <w:sz w:val="20"/>
          <w:szCs w:val="20"/>
        </w:rPr>
      </w:pPr>
      <w:r w:rsidRPr="00CD2A61">
        <w:rPr>
          <w:sz w:val="20"/>
          <w:szCs w:val="20"/>
        </w:rPr>
        <w:t>P</w:t>
      </w:r>
      <w:r w:rsidRPr="00CD2A61">
        <w:rPr>
          <w:sz w:val="20"/>
          <w:szCs w:val="20"/>
          <w:vertAlign w:val="subscript"/>
        </w:rPr>
        <w:t>2</w:t>
      </w:r>
      <w:r w:rsidR="009B7E67" w:rsidRPr="00CD2A61">
        <w:rPr>
          <w:sz w:val="20"/>
          <w:szCs w:val="20"/>
          <w:vertAlign w:val="subscript"/>
        </w:rPr>
        <w:t xml:space="preserve">max  </w:t>
      </w:r>
      <w:r w:rsidR="009B7E67" w:rsidRPr="00CD2A61">
        <w:rPr>
          <w:sz w:val="20"/>
          <w:szCs w:val="20"/>
        </w:rPr>
        <w:t xml:space="preserve">     </w:t>
      </w:r>
      <w:r w:rsidRPr="00CD2A61">
        <w:rPr>
          <w:sz w:val="20"/>
          <w:szCs w:val="20"/>
        </w:rPr>
        <w:t xml:space="preserve"> </w:t>
      </w:r>
      <w:r w:rsidR="009B7E67" w:rsidRPr="00CD2A61">
        <w:rPr>
          <w:sz w:val="20"/>
          <w:szCs w:val="20"/>
        </w:rPr>
        <w:t>naj</w:t>
      </w:r>
      <w:r w:rsidRPr="00CD2A61">
        <w:rPr>
          <w:sz w:val="20"/>
          <w:szCs w:val="20"/>
        </w:rPr>
        <w:t>vyššia</w:t>
      </w:r>
      <w:r w:rsidR="009B7E67" w:rsidRPr="00CD2A61">
        <w:rPr>
          <w:sz w:val="20"/>
          <w:szCs w:val="20"/>
        </w:rPr>
        <w:t xml:space="preserve"> dovolená </w:t>
      </w:r>
      <w:r w:rsidRPr="00CD2A61">
        <w:rPr>
          <w:sz w:val="20"/>
          <w:szCs w:val="20"/>
        </w:rPr>
        <w:t>hodnota indexu pravdepodobnosti rozsahu škôd spôsobených požiarom</w:t>
      </w:r>
    </w:p>
    <w:p w14:paraId="0653FC7C" w14:textId="76AF9FAD" w:rsidR="009B7E67" w:rsidRPr="00CD2A61" w:rsidRDefault="00395F1B" w:rsidP="001D0BC7">
      <w:pPr>
        <w:tabs>
          <w:tab w:val="left" w:pos="426"/>
        </w:tabs>
        <w:spacing w:after="0" w:line="240" w:lineRule="auto"/>
        <w:jc w:val="both"/>
        <w:rPr>
          <w:sz w:val="20"/>
          <w:szCs w:val="20"/>
        </w:rPr>
      </w:pPr>
      <w:bookmarkStart w:id="3" w:name="_Hlk132884538"/>
      <w:r w:rsidRPr="00CD2A61">
        <w:rPr>
          <w:sz w:val="20"/>
          <w:szCs w:val="20"/>
        </w:rPr>
        <w:t>p</w:t>
      </w:r>
      <w:r w:rsidRPr="00CD2A61">
        <w:rPr>
          <w:sz w:val="20"/>
          <w:szCs w:val="20"/>
          <w:vertAlign w:val="subscript"/>
        </w:rPr>
        <w:t>2</w:t>
      </w:r>
      <w:r w:rsidR="009B7E67" w:rsidRPr="00CD2A61">
        <w:rPr>
          <w:sz w:val="20"/>
          <w:szCs w:val="20"/>
          <w:vertAlign w:val="subscript"/>
        </w:rPr>
        <w:t xml:space="preserve">  </w:t>
      </w:r>
      <w:r w:rsidR="009B7E67" w:rsidRPr="00CD2A61">
        <w:rPr>
          <w:sz w:val="20"/>
          <w:szCs w:val="20"/>
        </w:rPr>
        <w:t xml:space="preserve">      </w:t>
      </w:r>
      <w:r w:rsidRPr="00CD2A61">
        <w:rPr>
          <w:sz w:val="20"/>
          <w:szCs w:val="20"/>
        </w:rPr>
        <w:t xml:space="preserve">     pravdepodobnosť rozsahu škôd spôsobených požiarom v závislosti skupiny prevádzkárne</w:t>
      </w:r>
    </w:p>
    <w:bookmarkEnd w:id="3"/>
    <w:p w14:paraId="2A20919D" w14:textId="0CF02251" w:rsidR="0048735B" w:rsidRPr="00CD2A61" w:rsidRDefault="00395F1B" w:rsidP="001D0BC7">
      <w:pPr>
        <w:tabs>
          <w:tab w:val="left" w:pos="426"/>
        </w:tabs>
        <w:suppressAutoHyphens/>
        <w:spacing w:after="0" w:line="240" w:lineRule="auto"/>
        <w:jc w:val="both"/>
        <w:rPr>
          <w:sz w:val="20"/>
          <w:szCs w:val="20"/>
          <w:lang w:val="cs-CZ" w:eastAsia="ar-SA"/>
        </w:rPr>
      </w:pPr>
      <w:r w:rsidRPr="00CD2A61">
        <w:rPr>
          <w:sz w:val="20"/>
          <w:szCs w:val="20"/>
          <w:lang w:val="cs-CZ" w:eastAsia="ar-SA"/>
        </w:rPr>
        <w:t>k</w:t>
      </w:r>
      <w:r w:rsidRPr="00CD2A61">
        <w:rPr>
          <w:sz w:val="20"/>
          <w:szCs w:val="20"/>
          <w:vertAlign w:val="subscript"/>
          <w:lang w:val="cs-CZ" w:eastAsia="ar-SA"/>
        </w:rPr>
        <w:t xml:space="preserve">5     </w:t>
      </w:r>
      <w:r w:rsidRPr="00CD2A61">
        <w:rPr>
          <w:sz w:val="20"/>
          <w:szCs w:val="20"/>
          <w:lang w:val="cs-CZ" w:eastAsia="ar-SA"/>
        </w:rPr>
        <w:t xml:space="preserve">         súčiniteľ počtu podlaží</w:t>
      </w:r>
    </w:p>
    <w:p w14:paraId="2F402719" w14:textId="28155143" w:rsidR="00395F1B" w:rsidRPr="00CD2A61" w:rsidRDefault="00395F1B" w:rsidP="00395F1B">
      <w:pPr>
        <w:tabs>
          <w:tab w:val="left" w:pos="426"/>
        </w:tabs>
        <w:suppressAutoHyphens/>
        <w:spacing w:after="0" w:line="240" w:lineRule="auto"/>
        <w:jc w:val="both"/>
        <w:rPr>
          <w:sz w:val="20"/>
          <w:szCs w:val="20"/>
          <w:lang w:val="cs-CZ" w:eastAsia="ar-SA"/>
        </w:rPr>
      </w:pPr>
      <w:r w:rsidRPr="00CD2A61">
        <w:rPr>
          <w:sz w:val="20"/>
          <w:szCs w:val="20"/>
          <w:lang w:val="cs-CZ" w:eastAsia="ar-SA"/>
        </w:rPr>
        <w:t>k</w:t>
      </w:r>
      <w:r w:rsidRPr="00CD2A61">
        <w:rPr>
          <w:sz w:val="20"/>
          <w:szCs w:val="20"/>
          <w:vertAlign w:val="subscript"/>
          <w:lang w:val="cs-CZ" w:eastAsia="ar-SA"/>
        </w:rPr>
        <w:t xml:space="preserve">6    </w:t>
      </w:r>
      <w:r w:rsidRPr="00CD2A61">
        <w:rPr>
          <w:sz w:val="20"/>
          <w:szCs w:val="20"/>
          <w:lang w:val="cs-CZ" w:eastAsia="ar-SA"/>
        </w:rPr>
        <w:t xml:space="preserve">          súčiniteľ horľavosti konštrukčného celku</w:t>
      </w:r>
    </w:p>
    <w:p w14:paraId="7C6FE742" w14:textId="1C926C99" w:rsidR="00395F1B" w:rsidRPr="00CD2A61" w:rsidRDefault="00395F1B" w:rsidP="00395F1B">
      <w:pPr>
        <w:tabs>
          <w:tab w:val="left" w:pos="426"/>
        </w:tabs>
        <w:suppressAutoHyphens/>
        <w:spacing w:after="0" w:line="240" w:lineRule="auto"/>
        <w:jc w:val="both"/>
        <w:rPr>
          <w:sz w:val="20"/>
          <w:szCs w:val="20"/>
          <w:lang w:val="cs-CZ" w:eastAsia="ar-SA"/>
        </w:rPr>
      </w:pPr>
      <w:r w:rsidRPr="00CD2A61">
        <w:rPr>
          <w:sz w:val="20"/>
          <w:szCs w:val="20"/>
          <w:lang w:val="cs-CZ" w:eastAsia="ar-SA"/>
        </w:rPr>
        <w:t>k</w:t>
      </w:r>
      <w:r w:rsidRPr="00CD2A61">
        <w:rPr>
          <w:sz w:val="20"/>
          <w:szCs w:val="20"/>
          <w:vertAlign w:val="subscript"/>
          <w:lang w:val="cs-CZ" w:eastAsia="ar-SA"/>
        </w:rPr>
        <w:t xml:space="preserve">7    </w:t>
      </w:r>
      <w:r w:rsidRPr="00CD2A61">
        <w:rPr>
          <w:sz w:val="20"/>
          <w:szCs w:val="20"/>
          <w:lang w:val="cs-CZ" w:eastAsia="ar-SA"/>
        </w:rPr>
        <w:t xml:space="preserve">          súčiniteľ vplyvu následných škôd</w:t>
      </w:r>
    </w:p>
    <w:p w14:paraId="6ACAC33F" w14:textId="0EC9FC99" w:rsidR="000078EE" w:rsidRPr="00CD2A61" w:rsidRDefault="000078EE" w:rsidP="000078EE">
      <w:pPr>
        <w:tabs>
          <w:tab w:val="left" w:pos="426"/>
        </w:tabs>
        <w:spacing w:after="0" w:line="240" w:lineRule="auto"/>
        <w:jc w:val="both"/>
        <w:rPr>
          <w:sz w:val="20"/>
          <w:szCs w:val="20"/>
          <w:vertAlign w:val="superscript"/>
        </w:rPr>
      </w:pPr>
      <w:r w:rsidRPr="00CD2A61">
        <w:rPr>
          <w:sz w:val="20"/>
          <w:szCs w:val="20"/>
        </w:rPr>
        <w:t>S</w:t>
      </w:r>
      <w:r w:rsidRPr="00CD2A61">
        <w:rPr>
          <w:sz w:val="20"/>
          <w:szCs w:val="20"/>
          <w:vertAlign w:val="subscript"/>
        </w:rPr>
        <w:t xml:space="preserve">          </w:t>
      </w:r>
      <w:r w:rsidRPr="00CD2A61">
        <w:rPr>
          <w:sz w:val="20"/>
          <w:szCs w:val="20"/>
        </w:rPr>
        <w:t xml:space="preserve">       celková pôdorysná plocha požiarneho úseku v m</w:t>
      </w:r>
      <w:r w:rsidRPr="00CD2A61">
        <w:rPr>
          <w:sz w:val="20"/>
          <w:szCs w:val="20"/>
          <w:vertAlign w:val="superscript"/>
        </w:rPr>
        <w:t>2</w:t>
      </w:r>
    </w:p>
    <w:p w14:paraId="385CE381" w14:textId="77777777" w:rsidR="000078EE" w:rsidRPr="00CD2A61" w:rsidRDefault="000078EE" w:rsidP="00395F1B">
      <w:pPr>
        <w:tabs>
          <w:tab w:val="left" w:pos="426"/>
        </w:tabs>
        <w:suppressAutoHyphens/>
        <w:spacing w:after="0" w:line="240" w:lineRule="auto"/>
        <w:jc w:val="both"/>
        <w:rPr>
          <w:sz w:val="20"/>
          <w:szCs w:val="20"/>
          <w:lang w:val="cs-CZ" w:eastAsia="ar-SA"/>
        </w:rPr>
      </w:pPr>
    </w:p>
    <w:p w14:paraId="19180438" w14:textId="0F3AB048" w:rsidR="000078EE" w:rsidRPr="00CD2A61" w:rsidRDefault="000078EE" w:rsidP="000078EE">
      <w:pPr>
        <w:tabs>
          <w:tab w:val="left" w:pos="426"/>
        </w:tabs>
        <w:suppressAutoHyphens/>
        <w:spacing w:after="0" w:line="240" w:lineRule="auto"/>
        <w:jc w:val="both"/>
        <w:rPr>
          <w:sz w:val="20"/>
          <w:szCs w:val="20"/>
          <w:lang w:val="cs-CZ" w:eastAsia="ar-SA"/>
        </w:rPr>
      </w:pPr>
      <w:r w:rsidRPr="00CD2A61">
        <w:rPr>
          <w:rFonts w:cs="Arial"/>
          <w:sz w:val="20"/>
          <w:szCs w:val="20"/>
          <w:lang w:val="cs-CZ" w:eastAsia="ar-SA"/>
        </w:rPr>
        <w:t xml:space="preserve">              </w:t>
      </w:r>
      <w:r w:rsidRPr="00CD2A61">
        <w:rPr>
          <w:sz w:val="20"/>
          <w:szCs w:val="20"/>
          <w:lang w:val="cs-CZ" w:eastAsia="ar-SA"/>
        </w:rPr>
        <w:t xml:space="preserve">     5 x 10</w:t>
      </w:r>
      <w:r w:rsidRPr="00CD2A61">
        <w:rPr>
          <w:sz w:val="20"/>
          <w:szCs w:val="20"/>
          <w:vertAlign w:val="superscript"/>
          <w:lang w:val="cs-CZ" w:eastAsia="ar-SA"/>
        </w:rPr>
        <w:t>4</w:t>
      </w:r>
      <w:r w:rsidRPr="00CD2A61">
        <w:rPr>
          <w:rFonts w:cs="Arial"/>
          <w:sz w:val="20"/>
          <w:szCs w:val="20"/>
          <w:lang w:val="cs-CZ" w:eastAsia="ar-SA"/>
        </w:rPr>
        <w:t xml:space="preserve">       </w:t>
      </w:r>
    </w:p>
    <w:p w14:paraId="4966A06D" w14:textId="4119B303" w:rsidR="000078EE" w:rsidRPr="00CD2A61" w:rsidRDefault="000078EE" w:rsidP="000078EE">
      <w:pPr>
        <w:tabs>
          <w:tab w:val="left" w:pos="426"/>
        </w:tabs>
        <w:suppressAutoHyphens/>
        <w:spacing w:after="0" w:line="240" w:lineRule="auto"/>
        <w:jc w:val="both"/>
        <w:rPr>
          <w:sz w:val="20"/>
          <w:szCs w:val="20"/>
          <w:vertAlign w:val="superscript"/>
          <w:lang w:val="cs-CZ" w:eastAsia="ar-SA"/>
        </w:rPr>
      </w:pPr>
      <w:r w:rsidRPr="00CD2A61">
        <w:rPr>
          <w:sz w:val="20"/>
          <w:szCs w:val="20"/>
          <w:lang w:val="cs-CZ" w:eastAsia="ar-SA"/>
        </w:rPr>
        <w:t>P</w:t>
      </w:r>
      <w:r w:rsidRPr="00CD2A61">
        <w:rPr>
          <w:sz w:val="20"/>
          <w:szCs w:val="20"/>
          <w:vertAlign w:val="subscript"/>
          <w:lang w:val="cs-CZ" w:eastAsia="ar-SA"/>
        </w:rPr>
        <w:t>2max</w:t>
      </w:r>
      <w:r w:rsidRPr="00CD2A61">
        <w:rPr>
          <w:sz w:val="20"/>
          <w:szCs w:val="20"/>
          <w:lang w:val="cs-CZ" w:eastAsia="ar-SA"/>
        </w:rPr>
        <w:t xml:space="preserve"> = ( --------------- ) </w:t>
      </w:r>
      <w:r w:rsidRPr="00CD2A61">
        <w:rPr>
          <w:rFonts w:cstheme="minorHAnsi"/>
          <w:sz w:val="20"/>
          <w:szCs w:val="20"/>
          <w:vertAlign w:val="superscript"/>
          <w:lang w:val="cs-CZ" w:eastAsia="ar-SA"/>
        </w:rPr>
        <w:t>2/3</w:t>
      </w:r>
      <w:r w:rsidR="003D465D">
        <w:rPr>
          <w:rFonts w:cstheme="minorHAnsi"/>
          <w:sz w:val="20"/>
          <w:szCs w:val="20"/>
          <w:vertAlign w:val="superscript"/>
          <w:lang w:val="cs-CZ" w:eastAsia="ar-SA"/>
        </w:rPr>
        <w:t xml:space="preserve">  </w:t>
      </w:r>
      <w:r w:rsidR="003D465D" w:rsidRPr="00CD2A61">
        <w:rPr>
          <w:sz w:val="20"/>
          <w:szCs w:val="20"/>
          <w:lang w:val="cs-CZ" w:eastAsia="ar-SA"/>
        </w:rPr>
        <w:t>=</w:t>
      </w:r>
      <w:r w:rsidR="003D465D">
        <w:rPr>
          <w:sz w:val="20"/>
          <w:szCs w:val="20"/>
          <w:lang w:val="cs-CZ" w:eastAsia="ar-SA"/>
        </w:rPr>
        <w:t xml:space="preserve"> 1 907,9</w:t>
      </w:r>
    </w:p>
    <w:p w14:paraId="01254567" w14:textId="0A3C7AA3" w:rsidR="000078EE" w:rsidRPr="00CD2A61" w:rsidRDefault="000078EE" w:rsidP="000078EE">
      <w:pPr>
        <w:tabs>
          <w:tab w:val="left" w:pos="426"/>
        </w:tabs>
        <w:suppressAutoHyphens/>
        <w:spacing w:after="0"/>
        <w:jc w:val="both"/>
        <w:rPr>
          <w:sz w:val="20"/>
          <w:szCs w:val="20"/>
          <w:lang w:val="cs-CZ" w:eastAsia="ar-SA"/>
        </w:rPr>
      </w:pPr>
      <w:r w:rsidRPr="00CD2A61">
        <w:rPr>
          <w:sz w:val="20"/>
          <w:szCs w:val="20"/>
          <w:lang w:val="cs-CZ" w:eastAsia="ar-SA"/>
        </w:rPr>
        <w:t xml:space="preserve">                 P</w:t>
      </w:r>
      <w:r w:rsidRPr="00CD2A61">
        <w:rPr>
          <w:sz w:val="20"/>
          <w:szCs w:val="20"/>
          <w:vertAlign w:val="subscript"/>
          <w:lang w:val="cs-CZ" w:eastAsia="ar-SA"/>
        </w:rPr>
        <w:t>1</w:t>
      </w:r>
      <w:r w:rsidRPr="00CD2A61">
        <w:rPr>
          <w:sz w:val="20"/>
          <w:szCs w:val="20"/>
          <w:lang w:val="cs-CZ" w:eastAsia="ar-SA"/>
        </w:rPr>
        <w:t xml:space="preserve"> – 0,1  </w:t>
      </w:r>
    </w:p>
    <w:p w14:paraId="4E7AF9D2" w14:textId="77777777" w:rsidR="00346200" w:rsidRDefault="00346200" w:rsidP="000078EE">
      <w:pPr>
        <w:tabs>
          <w:tab w:val="left" w:pos="426"/>
        </w:tabs>
        <w:spacing w:after="0" w:line="240" w:lineRule="auto"/>
        <w:jc w:val="both"/>
        <w:rPr>
          <w:sz w:val="20"/>
          <w:szCs w:val="20"/>
        </w:rPr>
      </w:pPr>
    </w:p>
    <w:p w14:paraId="09C2925F" w14:textId="0B7CD16D" w:rsidR="000078EE" w:rsidRPr="00CD2A61" w:rsidRDefault="000078EE" w:rsidP="000078EE">
      <w:pPr>
        <w:tabs>
          <w:tab w:val="left" w:pos="426"/>
        </w:tabs>
        <w:spacing w:after="0" w:line="240" w:lineRule="auto"/>
        <w:jc w:val="both"/>
        <w:rPr>
          <w:sz w:val="20"/>
          <w:szCs w:val="20"/>
        </w:rPr>
      </w:pPr>
      <w:r w:rsidRPr="00CD2A61">
        <w:rPr>
          <w:sz w:val="20"/>
          <w:szCs w:val="20"/>
        </w:rPr>
        <w:t>P</w:t>
      </w:r>
      <w:r w:rsidRPr="00CD2A61">
        <w:rPr>
          <w:sz w:val="20"/>
          <w:szCs w:val="20"/>
          <w:vertAlign w:val="subscript"/>
        </w:rPr>
        <w:t xml:space="preserve">2max  </w:t>
      </w:r>
      <w:r w:rsidRPr="00CD2A61">
        <w:rPr>
          <w:sz w:val="20"/>
          <w:szCs w:val="20"/>
        </w:rPr>
        <w:t xml:space="preserve">      najvyššia dovolená hodnota indexu pravdepodobnosti rozsahu škôd spôsobených požiarom</w:t>
      </w:r>
    </w:p>
    <w:p w14:paraId="4C87C892" w14:textId="0878E816" w:rsidR="005F5111" w:rsidRPr="00CD2A61" w:rsidRDefault="000078EE" w:rsidP="001D0BC7">
      <w:pPr>
        <w:pStyle w:val="Listaszerbekezds"/>
        <w:spacing w:after="0" w:line="240" w:lineRule="auto"/>
        <w:ind w:left="0"/>
        <w:jc w:val="both"/>
        <w:rPr>
          <w:rFonts w:cstheme="minorHAnsi"/>
          <w:sz w:val="20"/>
          <w:szCs w:val="20"/>
        </w:rPr>
      </w:pPr>
      <w:bookmarkStart w:id="4" w:name="_Hlk132884333"/>
      <w:r w:rsidRPr="00CD2A61">
        <w:rPr>
          <w:rFonts w:cstheme="minorHAnsi"/>
          <w:sz w:val="20"/>
          <w:szCs w:val="20"/>
        </w:rPr>
        <w:t>P</w:t>
      </w:r>
      <w:r w:rsidRPr="00CD2A61">
        <w:rPr>
          <w:rFonts w:cstheme="minorHAnsi"/>
          <w:sz w:val="20"/>
          <w:szCs w:val="20"/>
          <w:vertAlign w:val="subscript"/>
        </w:rPr>
        <w:t>1</w:t>
      </w:r>
      <w:bookmarkEnd w:id="4"/>
      <w:r w:rsidRPr="00CD2A61">
        <w:rPr>
          <w:rFonts w:cstheme="minorHAnsi"/>
          <w:sz w:val="20"/>
          <w:szCs w:val="20"/>
          <w:vertAlign w:val="subscript"/>
        </w:rPr>
        <w:t xml:space="preserve">                     </w:t>
      </w:r>
      <w:r w:rsidRPr="00CD2A61">
        <w:rPr>
          <w:sz w:val="20"/>
          <w:szCs w:val="20"/>
        </w:rPr>
        <w:t>index pravdepodobnosti vzniku a rozšírenia požiaru</w:t>
      </w:r>
      <w:r w:rsidR="003D465D">
        <w:rPr>
          <w:sz w:val="20"/>
          <w:szCs w:val="20"/>
        </w:rPr>
        <w:t xml:space="preserve"> – 0,7</w:t>
      </w:r>
    </w:p>
    <w:p w14:paraId="35B0E216" w14:textId="5DDE25FB" w:rsidR="0048735B" w:rsidRPr="00CD2A61" w:rsidRDefault="0048735B" w:rsidP="001D0BC7">
      <w:pPr>
        <w:pStyle w:val="Listaszerbekezds"/>
        <w:spacing w:after="0" w:line="240" w:lineRule="auto"/>
        <w:ind w:left="0"/>
        <w:jc w:val="both"/>
        <w:rPr>
          <w:rFonts w:cstheme="minorHAnsi"/>
          <w:sz w:val="20"/>
          <w:szCs w:val="20"/>
        </w:rPr>
      </w:pPr>
    </w:p>
    <w:p w14:paraId="2E63ECAB" w14:textId="0400CAF6" w:rsidR="0048735B" w:rsidRPr="00CD2A61" w:rsidRDefault="000078EE" w:rsidP="000078EE">
      <w:pPr>
        <w:spacing w:after="0"/>
        <w:jc w:val="both"/>
        <w:rPr>
          <w:rFonts w:cstheme="minorHAnsi"/>
          <w:sz w:val="20"/>
          <w:szCs w:val="20"/>
          <w:vertAlign w:val="subscript"/>
        </w:rPr>
      </w:pPr>
      <w:r w:rsidRPr="00CD2A61">
        <w:rPr>
          <w:rFonts w:cstheme="minorHAnsi"/>
          <w:sz w:val="20"/>
          <w:szCs w:val="20"/>
        </w:rPr>
        <w:t>P</w:t>
      </w:r>
      <w:r w:rsidRPr="00CD2A61">
        <w:rPr>
          <w:rFonts w:cstheme="minorHAnsi"/>
          <w:sz w:val="20"/>
          <w:szCs w:val="20"/>
          <w:vertAlign w:val="subscript"/>
        </w:rPr>
        <w:t xml:space="preserve">1 </w:t>
      </w:r>
      <w:r w:rsidRPr="00CD2A61">
        <w:rPr>
          <w:rFonts w:cstheme="minorHAnsi"/>
          <w:sz w:val="20"/>
          <w:szCs w:val="20"/>
        </w:rPr>
        <w:t>= p</w:t>
      </w:r>
      <w:r w:rsidRPr="00CD2A61">
        <w:rPr>
          <w:rFonts w:cstheme="minorHAnsi"/>
          <w:sz w:val="20"/>
          <w:szCs w:val="20"/>
          <w:vertAlign w:val="subscript"/>
        </w:rPr>
        <w:t>1</w:t>
      </w:r>
      <w:r w:rsidRPr="00CD2A61">
        <w:rPr>
          <w:rFonts w:cstheme="minorHAnsi"/>
          <w:sz w:val="20"/>
          <w:szCs w:val="20"/>
        </w:rPr>
        <w:t xml:space="preserve"> x c</w:t>
      </w:r>
      <w:r w:rsidRPr="00CD2A61">
        <w:rPr>
          <w:rFonts w:cstheme="minorHAnsi"/>
          <w:sz w:val="20"/>
          <w:szCs w:val="20"/>
          <w:vertAlign w:val="subscript"/>
        </w:rPr>
        <w:t>v</w:t>
      </w:r>
      <w:r w:rsidR="003D465D">
        <w:rPr>
          <w:rFonts w:cstheme="minorHAnsi"/>
          <w:sz w:val="20"/>
          <w:szCs w:val="20"/>
          <w:vertAlign w:val="subscript"/>
        </w:rPr>
        <w:t xml:space="preserve"> </w:t>
      </w:r>
      <w:r w:rsidR="003D465D" w:rsidRPr="00CD2A61">
        <w:rPr>
          <w:rFonts w:cstheme="minorHAnsi"/>
          <w:sz w:val="20"/>
          <w:szCs w:val="20"/>
        </w:rPr>
        <w:t>=</w:t>
      </w:r>
      <w:r w:rsidR="003D465D">
        <w:rPr>
          <w:rFonts w:cstheme="minorHAnsi"/>
          <w:sz w:val="20"/>
          <w:szCs w:val="20"/>
        </w:rPr>
        <w:t xml:space="preserve"> 0,7</w:t>
      </w:r>
    </w:p>
    <w:p w14:paraId="3CF97753" w14:textId="77777777" w:rsidR="00346200" w:rsidRDefault="00346200" w:rsidP="004F6214">
      <w:pPr>
        <w:pStyle w:val="Listaszerbekezds"/>
        <w:spacing w:after="0" w:line="240" w:lineRule="auto"/>
        <w:ind w:left="0"/>
        <w:jc w:val="both"/>
        <w:rPr>
          <w:rFonts w:cstheme="minorHAnsi"/>
          <w:sz w:val="20"/>
          <w:szCs w:val="20"/>
        </w:rPr>
      </w:pPr>
    </w:p>
    <w:p w14:paraId="28F84715" w14:textId="5ECEC21B" w:rsidR="004F6214" w:rsidRPr="00CD2A61" w:rsidRDefault="004F6214" w:rsidP="004F6214">
      <w:pPr>
        <w:pStyle w:val="Listaszerbekezds"/>
        <w:spacing w:after="0" w:line="240" w:lineRule="auto"/>
        <w:ind w:left="0"/>
        <w:jc w:val="both"/>
        <w:rPr>
          <w:rFonts w:cstheme="minorHAnsi"/>
          <w:sz w:val="20"/>
          <w:szCs w:val="20"/>
        </w:rPr>
      </w:pPr>
      <w:r w:rsidRPr="00CD2A61">
        <w:rPr>
          <w:rFonts w:cstheme="minorHAnsi"/>
          <w:sz w:val="20"/>
          <w:szCs w:val="20"/>
        </w:rPr>
        <w:t>P</w:t>
      </w:r>
      <w:r w:rsidRPr="00CD2A61">
        <w:rPr>
          <w:rFonts w:cstheme="minorHAnsi"/>
          <w:sz w:val="20"/>
          <w:szCs w:val="20"/>
          <w:vertAlign w:val="subscript"/>
        </w:rPr>
        <w:t xml:space="preserve">1                     </w:t>
      </w:r>
      <w:r w:rsidRPr="00CD2A61">
        <w:rPr>
          <w:sz w:val="20"/>
          <w:szCs w:val="20"/>
        </w:rPr>
        <w:t xml:space="preserve">index pravdepodobnosti </w:t>
      </w:r>
      <w:bookmarkStart w:id="5" w:name="_Hlk132884633"/>
      <w:r w:rsidRPr="00CD2A61">
        <w:rPr>
          <w:sz w:val="20"/>
          <w:szCs w:val="20"/>
        </w:rPr>
        <w:t>vzniku a rozšírenia požiaru</w:t>
      </w:r>
      <w:bookmarkEnd w:id="5"/>
    </w:p>
    <w:p w14:paraId="44DE24A5" w14:textId="2E4E4D2E" w:rsidR="004F6214" w:rsidRPr="00CD2A61" w:rsidRDefault="004F6214" w:rsidP="004F6214">
      <w:pPr>
        <w:tabs>
          <w:tab w:val="left" w:pos="426"/>
        </w:tabs>
        <w:spacing w:after="0" w:line="240" w:lineRule="auto"/>
        <w:jc w:val="both"/>
        <w:rPr>
          <w:sz w:val="20"/>
          <w:szCs w:val="20"/>
        </w:rPr>
      </w:pPr>
      <w:r w:rsidRPr="00CD2A61">
        <w:rPr>
          <w:sz w:val="20"/>
          <w:szCs w:val="20"/>
        </w:rPr>
        <w:t>p</w:t>
      </w:r>
      <w:r w:rsidRPr="00CD2A61">
        <w:rPr>
          <w:sz w:val="20"/>
          <w:szCs w:val="20"/>
          <w:vertAlign w:val="subscript"/>
        </w:rPr>
        <w:t xml:space="preserve">1  </w:t>
      </w:r>
      <w:r w:rsidRPr="00CD2A61">
        <w:rPr>
          <w:sz w:val="20"/>
          <w:szCs w:val="20"/>
        </w:rPr>
        <w:t xml:space="preserve">           </w:t>
      </w:r>
      <w:r w:rsidR="003D465D">
        <w:rPr>
          <w:sz w:val="20"/>
          <w:szCs w:val="20"/>
        </w:rPr>
        <w:t xml:space="preserve"> </w:t>
      </w:r>
      <w:r w:rsidRPr="00CD2A61">
        <w:rPr>
          <w:sz w:val="20"/>
          <w:szCs w:val="20"/>
        </w:rPr>
        <w:t>pravdepodobnosť vzniku a rozšírenia požiaru v závislosti od skupiny prevádzkární</w:t>
      </w:r>
    </w:p>
    <w:p w14:paraId="409CC468" w14:textId="7993D365" w:rsidR="004F6214" w:rsidRPr="00CD2A61" w:rsidRDefault="004F6214" w:rsidP="000078EE">
      <w:pPr>
        <w:spacing w:after="0"/>
        <w:jc w:val="both"/>
        <w:rPr>
          <w:rFonts w:cstheme="minorHAnsi"/>
          <w:sz w:val="20"/>
          <w:szCs w:val="20"/>
        </w:rPr>
      </w:pPr>
      <w:r w:rsidRPr="00CD2A61">
        <w:rPr>
          <w:rFonts w:cstheme="minorHAnsi"/>
          <w:sz w:val="20"/>
          <w:szCs w:val="20"/>
        </w:rPr>
        <w:t>c</w:t>
      </w:r>
      <w:r w:rsidRPr="00CD2A61">
        <w:rPr>
          <w:rFonts w:cstheme="minorHAnsi"/>
          <w:sz w:val="20"/>
          <w:szCs w:val="20"/>
          <w:vertAlign w:val="subscript"/>
        </w:rPr>
        <w:t xml:space="preserve">v </w:t>
      </w:r>
      <w:r w:rsidRPr="00CD2A61">
        <w:rPr>
          <w:rFonts w:cstheme="minorHAnsi"/>
          <w:sz w:val="20"/>
          <w:szCs w:val="20"/>
        </w:rPr>
        <w:t xml:space="preserve">             </w:t>
      </w:r>
      <w:r w:rsidRPr="00CD2A61">
        <w:rPr>
          <w:sz w:val="20"/>
          <w:szCs w:val="20"/>
        </w:rPr>
        <w:t>súčiniteľ vyjadrujúci vplyv požiarnotechnických zariadení</w:t>
      </w:r>
    </w:p>
    <w:p w14:paraId="22F343C9" w14:textId="77777777" w:rsidR="004F6214" w:rsidRPr="00CD2A61" w:rsidRDefault="004F6214" w:rsidP="000078EE">
      <w:pPr>
        <w:spacing w:after="0"/>
        <w:jc w:val="both"/>
        <w:rPr>
          <w:rFonts w:cstheme="minorHAnsi"/>
          <w:sz w:val="20"/>
          <w:szCs w:val="20"/>
        </w:rPr>
      </w:pPr>
    </w:p>
    <w:p w14:paraId="4C87C893" w14:textId="77777777" w:rsidR="00D762FA" w:rsidRPr="00CD2A61" w:rsidRDefault="00D762FA" w:rsidP="004C2CCB">
      <w:pPr>
        <w:pStyle w:val="Listaszerbekezds"/>
        <w:numPr>
          <w:ilvl w:val="1"/>
          <w:numId w:val="7"/>
        </w:numPr>
        <w:spacing w:after="0"/>
        <w:ind w:left="1134" w:hanging="567"/>
        <w:jc w:val="both"/>
        <w:rPr>
          <w:rFonts w:cstheme="minorHAnsi"/>
          <w:b/>
          <w:sz w:val="20"/>
          <w:szCs w:val="20"/>
        </w:rPr>
      </w:pPr>
      <w:r w:rsidRPr="00CD2A61">
        <w:rPr>
          <w:rFonts w:cstheme="minorHAnsi"/>
          <w:b/>
          <w:sz w:val="20"/>
          <w:szCs w:val="20"/>
        </w:rPr>
        <w:t>Stavebné a požiarne konštrukcie</w:t>
      </w:r>
    </w:p>
    <w:bookmarkEnd w:id="0"/>
    <w:p w14:paraId="4C87C894" w14:textId="77777777" w:rsidR="00DD64F9" w:rsidRPr="00CD2A61" w:rsidRDefault="00DD64F9" w:rsidP="004C2CCB">
      <w:pPr>
        <w:pStyle w:val="Listaszerbekezds"/>
        <w:spacing w:after="0"/>
        <w:ind w:left="792"/>
        <w:jc w:val="both"/>
        <w:rPr>
          <w:rFonts w:cstheme="minorHAnsi"/>
          <w:sz w:val="20"/>
          <w:szCs w:val="20"/>
        </w:rPr>
      </w:pPr>
    </w:p>
    <w:p w14:paraId="70E88763" w14:textId="046E28BB" w:rsidR="00D62150" w:rsidRPr="00CD2A61" w:rsidRDefault="00D62150" w:rsidP="0029070F">
      <w:pPr>
        <w:widowControl w:val="0"/>
        <w:autoSpaceDE w:val="0"/>
        <w:autoSpaceDN w:val="0"/>
        <w:adjustRightInd w:val="0"/>
        <w:spacing w:before="40"/>
        <w:rPr>
          <w:rFonts w:ascii="Calibri" w:hAnsi="Calibri"/>
          <w:sz w:val="20"/>
          <w:szCs w:val="20"/>
        </w:rPr>
      </w:pPr>
      <w:bookmarkStart w:id="6" w:name="_Hlk75351636"/>
      <w:r w:rsidRPr="00CD2A61">
        <w:rPr>
          <w:rFonts w:ascii="Calibri" w:hAnsi="Calibri"/>
          <w:sz w:val="20"/>
          <w:szCs w:val="20"/>
          <w:lang w:eastAsia="ar-SA"/>
        </w:rPr>
        <w:t xml:space="preserve">Požiarny úsek N1.01 je začlenený do 1. stupňa požiarnej bezpečnosti. </w:t>
      </w:r>
      <w:r w:rsidRPr="00CD2A61">
        <w:rPr>
          <w:rFonts w:ascii="Calibri" w:hAnsi="Calibri" w:cs="Calibri"/>
          <w:sz w:val="20"/>
          <w:szCs w:val="20"/>
          <w:lang w:eastAsia="ar-SA"/>
        </w:rPr>
        <w:t>Požiadavky na požiarnu odolnosť a druh konštrukčných prvkov stavebných konštrukcií podľa STN 92 0201-2,</w:t>
      </w:r>
      <w:r w:rsidRPr="00CD2A61">
        <w:rPr>
          <w:rFonts w:ascii="Calibri" w:hAnsi="Calibri"/>
          <w:sz w:val="20"/>
          <w:szCs w:val="20"/>
        </w:rPr>
        <w:t xml:space="preserve"> tab.5 STN 92 0201-2 – Viacpodlažné stavby</w:t>
      </w:r>
    </w:p>
    <w:tbl>
      <w:tblPr>
        <w:tblW w:w="0" w:type="auto"/>
        <w:tblInd w:w="108"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4A0" w:firstRow="1" w:lastRow="0" w:firstColumn="1" w:lastColumn="0" w:noHBand="0" w:noVBand="1"/>
      </w:tblPr>
      <w:tblGrid>
        <w:gridCol w:w="2694"/>
        <w:gridCol w:w="3827"/>
        <w:gridCol w:w="1042"/>
        <w:gridCol w:w="963"/>
      </w:tblGrid>
      <w:tr w:rsidR="00D62150" w:rsidRPr="00CD2A61" w14:paraId="548FDDA7" w14:textId="77777777" w:rsidTr="0029070F">
        <w:trPr>
          <w:trHeight w:val="171"/>
        </w:trPr>
        <w:tc>
          <w:tcPr>
            <w:tcW w:w="2694" w:type="dxa"/>
            <w:vMerge w:val="restart"/>
            <w:shd w:val="clear" w:color="auto" w:fill="auto"/>
            <w:vAlign w:val="center"/>
          </w:tcPr>
          <w:p w14:paraId="239EDF12" w14:textId="77777777" w:rsidR="00D62150" w:rsidRPr="00B910FC" w:rsidRDefault="00D62150" w:rsidP="00A25DE1">
            <w:pPr>
              <w:jc w:val="center"/>
              <w:outlineLvl w:val="0"/>
              <w:rPr>
                <w:rFonts w:ascii="Calibri" w:eastAsia="Calibri" w:hAnsi="Calibri" w:cs="Calibri"/>
                <w:b/>
                <w:bCs/>
                <w:sz w:val="16"/>
                <w:szCs w:val="16"/>
              </w:rPr>
            </w:pPr>
            <w:r w:rsidRPr="00B910FC">
              <w:rPr>
                <w:rFonts w:ascii="Calibri" w:eastAsia="Calibri" w:hAnsi="Calibri" w:cs="Calibri"/>
                <w:b/>
                <w:bCs/>
                <w:sz w:val="16"/>
                <w:szCs w:val="16"/>
              </w:rPr>
              <w:t>Stavebná konštrukcia</w:t>
            </w:r>
          </w:p>
        </w:tc>
        <w:tc>
          <w:tcPr>
            <w:tcW w:w="3827" w:type="dxa"/>
            <w:vMerge w:val="restart"/>
            <w:shd w:val="clear" w:color="auto" w:fill="auto"/>
            <w:vAlign w:val="center"/>
          </w:tcPr>
          <w:p w14:paraId="20E083FE" w14:textId="77777777" w:rsidR="00D62150" w:rsidRPr="00B910FC" w:rsidRDefault="00D62150" w:rsidP="00A25DE1">
            <w:pPr>
              <w:jc w:val="center"/>
              <w:outlineLvl w:val="0"/>
              <w:rPr>
                <w:rFonts w:ascii="Calibri" w:eastAsia="Calibri" w:hAnsi="Calibri" w:cs="Calibri"/>
                <w:b/>
                <w:bCs/>
                <w:sz w:val="16"/>
                <w:szCs w:val="16"/>
              </w:rPr>
            </w:pPr>
            <w:r w:rsidRPr="00B910FC">
              <w:rPr>
                <w:rFonts w:ascii="Calibri" w:eastAsia="Calibri" w:hAnsi="Calibri" w:cs="Calibri"/>
                <w:b/>
                <w:bCs/>
                <w:sz w:val="16"/>
                <w:szCs w:val="16"/>
              </w:rPr>
              <w:t>Popis konštrukcie</w:t>
            </w:r>
          </w:p>
        </w:tc>
        <w:tc>
          <w:tcPr>
            <w:tcW w:w="2005" w:type="dxa"/>
            <w:gridSpan w:val="2"/>
            <w:tcBorders>
              <w:bottom w:val="single" w:sz="12" w:space="0" w:color="92CDDC"/>
            </w:tcBorders>
            <w:shd w:val="clear" w:color="auto" w:fill="auto"/>
            <w:vAlign w:val="center"/>
          </w:tcPr>
          <w:p w14:paraId="60346191" w14:textId="77777777" w:rsidR="00D62150" w:rsidRPr="00B910FC" w:rsidRDefault="00D62150" w:rsidP="00A25DE1">
            <w:pPr>
              <w:jc w:val="center"/>
              <w:outlineLvl w:val="0"/>
              <w:rPr>
                <w:rFonts w:ascii="Calibri" w:eastAsia="Calibri" w:hAnsi="Calibri" w:cs="Calibri"/>
                <w:b/>
                <w:bCs/>
                <w:sz w:val="16"/>
                <w:szCs w:val="16"/>
              </w:rPr>
            </w:pPr>
            <w:r w:rsidRPr="00B910FC">
              <w:rPr>
                <w:rFonts w:ascii="Calibri" w:eastAsia="Calibri" w:hAnsi="Calibri" w:cs="Calibri"/>
                <w:b/>
                <w:bCs/>
                <w:sz w:val="16"/>
                <w:szCs w:val="16"/>
              </w:rPr>
              <w:t>Požiarna odolnosť</w:t>
            </w:r>
          </w:p>
        </w:tc>
      </w:tr>
      <w:tr w:rsidR="00D62150" w:rsidRPr="00CD2A61" w14:paraId="00CC330E" w14:textId="77777777" w:rsidTr="00534B2B">
        <w:trPr>
          <w:trHeight w:val="171"/>
        </w:trPr>
        <w:tc>
          <w:tcPr>
            <w:tcW w:w="2694" w:type="dxa"/>
            <w:vMerge/>
            <w:tcBorders>
              <w:bottom w:val="single" w:sz="12" w:space="0" w:color="92CDDC"/>
            </w:tcBorders>
            <w:shd w:val="clear" w:color="auto" w:fill="auto"/>
            <w:vAlign w:val="center"/>
          </w:tcPr>
          <w:p w14:paraId="2E3731AD" w14:textId="77777777" w:rsidR="00D62150" w:rsidRPr="00B910FC" w:rsidRDefault="00D62150" w:rsidP="00A25DE1">
            <w:pPr>
              <w:jc w:val="center"/>
              <w:outlineLvl w:val="0"/>
              <w:rPr>
                <w:rFonts w:ascii="Calibri" w:eastAsia="Calibri" w:hAnsi="Calibri" w:cs="Calibri"/>
                <w:b/>
                <w:bCs/>
                <w:sz w:val="16"/>
                <w:szCs w:val="16"/>
              </w:rPr>
            </w:pPr>
          </w:p>
        </w:tc>
        <w:tc>
          <w:tcPr>
            <w:tcW w:w="3827" w:type="dxa"/>
            <w:vMerge/>
            <w:tcBorders>
              <w:bottom w:val="single" w:sz="12" w:space="0" w:color="92CDDC"/>
            </w:tcBorders>
            <w:shd w:val="clear" w:color="auto" w:fill="auto"/>
            <w:vAlign w:val="center"/>
          </w:tcPr>
          <w:p w14:paraId="167983CE" w14:textId="77777777" w:rsidR="00D62150" w:rsidRPr="00B910FC" w:rsidRDefault="00D62150" w:rsidP="00A25DE1">
            <w:pPr>
              <w:jc w:val="center"/>
              <w:outlineLvl w:val="0"/>
              <w:rPr>
                <w:rFonts w:ascii="Calibri" w:eastAsia="Calibri" w:hAnsi="Calibri" w:cs="Calibri"/>
                <w:b/>
                <w:bCs/>
                <w:sz w:val="16"/>
                <w:szCs w:val="16"/>
              </w:rPr>
            </w:pPr>
          </w:p>
        </w:tc>
        <w:tc>
          <w:tcPr>
            <w:tcW w:w="1042" w:type="dxa"/>
            <w:tcBorders>
              <w:bottom w:val="single" w:sz="12" w:space="0" w:color="92CDDC"/>
            </w:tcBorders>
            <w:shd w:val="clear" w:color="auto" w:fill="auto"/>
            <w:vAlign w:val="center"/>
          </w:tcPr>
          <w:p w14:paraId="4EC23407" w14:textId="77777777" w:rsidR="00D62150" w:rsidRPr="00B910FC" w:rsidRDefault="00D62150" w:rsidP="00A25DE1">
            <w:pPr>
              <w:jc w:val="center"/>
              <w:outlineLvl w:val="0"/>
              <w:rPr>
                <w:rFonts w:ascii="Calibri" w:eastAsia="Calibri" w:hAnsi="Calibri" w:cs="Calibri"/>
                <w:b/>
                <w:bCs/>
                <w:sz w:val="16"/>
                <w:szCs w:val="16"/>
              </w:rPr>
            </w:pPr>
            <w:r w:rsidRPr="00B910FC">
              <w:rPr>
                <w:rFonts w:ascii="Calibri" w:eastAsia="Calibri" w:hAnsi="Calibri" w:cs="Calibri"/>
                <w:b/>
                <w:bCs/>
                <w:sz w:val="16"/>
                <w:szCs w:val="16"/>
              </w:rPr>
              <w:t>Požadovaná</w:t>
            </w:r>
          </w:p>
        </w:tc>
        <w:tc>
          <w:tcPr>
            <w:tcW w:w="963" w:type="dxa"/>
            <w:tcBorders>
              <w:bottom w:val="single" w:sz="12" w:space="0" w:color="92CDDC"/>
            </w:tcBorders>
            <w:shd w:val="clear" w:color="auto" w:fill="auto"/>
            <w:vAlign w:val="center"/>
          </w:tcPr>
          <w:p w14:paraId="0B52C13F" w14:textId="77777777" w:rsidR="00D62150" w:rsidRPr="00B910FC" w:rsidRDefault="00D62150" w:rsidP="00A25DE1">
            <w:pPr>
              <w:jc w:val="center"/>
              <w:outlineLvl w:val="0"/>
              <w:rPr>
                <w:rFonts w:ascii="Calibri" w:eastAsia="Calibri" w:hAnsi="Calibri" w:cs="Calibri"/>
                <w:b/>
                <w:bCs/>
                <w:sz w:val="16"/>
                <w:szCs w:val="16"/>
              </w:rPr>
            </w:pPr>
            <w:r w:rsidRPr="00B910FC">
              <w:rPr>
                <w:rFonts w:ascii="Calibri" w:eastAsia="Calibri" w:hAnsi="Calibri" w:cs="Calibri"/>
                <w:b/>
                <w:bCs/>
                <w:sz w:val="16"/>
                <w:szCs w:val="16"/>
              </w:rPr>
              <w:t>Skutočná</w:t>
            </w:r>
          </w:p>
        </w:tc>
      </w:tr>
      <w:tr w:rsidR="00D62150" w:rsidRPr="00CD2A61" w14:paraId="2BF8B3F4" w14:textId="77777777" w:rsidTr="00534B2B">
        <w:trPr>
          <w:trHeight w:val="284"/>
        </w:trPr>
        <w:tc>
          <w:tcPr>
            <w:tcW w:w="2694" w:type="dxa"/>
            <w:shd w:val="clear" w:color="auto" w:fill="auto"/>
            <w:vAlign w:val="center"/>
          </w:tcPr>
          <w:p w14:paraId="34CF5729" w14:textId="7BB4F34A" w:rsidR="00D62150" w:rsidRPr="00B910FC" w:rsidRDefault="00D62150" w:rsidP="00A25DE1">
            <w:pPr>
              <w:outlineLvl w:val="0"/>
              <w:rPr>
                <w:rFonts w:ascii="Calibri" w:eastAsia="Calibri" w:hAnsi="Calibri" w:cs="Calibri"/>
                <w:bCs/>
                <w:sz w:val="16"/>
                <w:szCs w:val="16"/>
              </w:rPr>
            </w:pPr>
            <w:r w:rsidRPr="00B910FC">
              <w:rPr>
                <w:rFonts w:ascii="Calibri" w:eastAsia="Calibri" w:hAnsi="Calibri" w:cs="Calibri"/>
                <w:bCs/>
                <w:sz w:val="16"/>
                <w:szCs w:val="16"/>
              </w:rPr>
              <w:t xml:space="preserve">Obvodová stena </w:t>
            </w:r>
            <w:r w:rsidR="006E42F4" w:rsidRPr="00B910FC">
              <w:rPr>
                <w:rFonts w:ascii="Calibri" w:eastAsia="Calibri" w:hAnsi="Calibri" w:cs="Calibri"/>
                <w:bCs/>
                <w:sz w:val="16"/>
                <w:szCs w:val="16"/>
              </w:rPr>
              <w:t>ne</w:t>
            </w:r>
            <w:r w:rsidRPr="00B910FC">
              <w:rPr>
                <w:rFonts w:ascii="Calibri" w:eastAsia="Calibri" w:hAnsi="Calibri" w:cs="Calibri"/>
                <w:bCs/>
                <w:sz w:val="16"/>
                <w:szCs w:val="16"/>
              </w:rPr>
              <w:t>zabezpeč. stabilitu stavby v posl. nadz. podlaží</w:t>
            </w:r>
          </w:p>
        </w:tc>
        <w:tc>
          <w:tcPr>
            <w:tcW w:w="3827" w:type="dxa"/>
            <w:shd w:val="clear" w:color="auto" w:fill="auto"/>
            <w:vAlign w:val="center"/>
          </w:tcPr>
          <w:p w14:paraId="32F25F31" w14:textId="03D7F81A" w:rsidR="00D62150" w:rsidRPr="00B910FC" w:rsidRDefault="006523D2" w:rsidP="00A25DE1">
            <w:pPr>
              <w:widowControl w:val="0"/>
              <w:autoSpaceDE w:val="0"/>
              <w:autoSpaceDN w:val="0"/>
              <w:adjustRightInd w:val="0"/>
              <w:spacing w:before="40"/>
              <w:rPr>
                <w:rFonts w:ascii="Calibri" w:hAnsi="Calibri" w:cs="Calibri"/>
                <w:sz w:val="16"/>
                <w:szCs w:val="16"/>
              </w:rPr>
            </w:pPr>
            <w:r w:rsidRPr="00B910FC">
              <w:rPr>
                <w:rFonts w:ascii="Calibri" w:hAnsi="Calibri" w:cs="Calibri"/>
                <w:sz w:val="16"/>
                <w:szCs w:val="16"/>
              </w:rPr>
              <w:t>S</w:t>
            </w:r>
            <w:r w:rsidR="004D2C9C" w:rsidRPr="00B910FC">
              <w:rPr>
                <w:rFonts w:ascii="Calibri" w:hAnsi="Calibri" w:cs="Calibri"/>
                <w:sz w:val="16"/>
                <w:szCs w:val="16"/>
              </w:rPr>
              <w:t>endvičov</w:t>
            </w:r>
            <w:r w:rsidRPr="00B910FC">
              <w:rPr>
                <w:rFonts w:ascii="Calibri" w:hAnsi="Calibri" w:cs="Calibri"/>
                <w:sz w:val="16"/>
                <w:szCs w:val="16"/>
              </w:rPr>
              <w:t>é</w:t>
            </w:r>
            <w:r w:rsidR="004D2C9C" w:rsidRPr="00B910FC">
              <w:rPr>
                <w:rFonts w:ascii="Calibri" w:hAnsi="Calibri" w:cs="Calibri"/>
                <w:sz w:val="16"/>
                <w:szCs w:val="16"/>
              </w:rPr>
              <w:t xml:space="preserve"> PIR panel</w:t>
            </w:r>
            <w:r w:rsidRPr="00B910FC">
              <w:rPr>
                <w:rFonts w:ascii="Calibri" w:hAnsi="Calibri" w:cs="Calibri"/>
                <w:sz w:val="16"/>
                <w:szCs w:val="16"/>
              </w:rPr>
              <w:t>y</w:t>
            </w:r>
            <w:r w:rsidR="006E42F4" w:rsidRPr="00B910FC">
              <w:rPr>
                <w:rFonts w:ascii="Calibri" w:hAnsi="Calibri" w:cs="Calibri"/>
                <w:sz w:val="16"/>
                <w:szCs w:val="16"/>
              </w:rPr>
              <w:t xml:space="preserve"> hr.120mm</w:t>
            </w:r>
            <w:r w:rsidR="00D62150" w:rsidRPr="00B910FC">
              <w:rPr>
                <w:rFonts w:ascii="Calibri" w:hAnsi="Calibri" w:cs="Calibri"/>
                <w:sz w:val="16"/>
                <w:szCs w:val="16"/>
              </w:rPr>
              <w:t xml:space="preserve"> </w:t>
            </w:r>
            <w:bookmarkStart w:id="7" w:name="_Hlk79664508"/>
            <w:r w:rsidRPr="00B910FC">
              <w:rPr>
                <w:rFonts w:ascii="Calibri" w:hAnsi="Calibri" w:cs="Calibri"/>
                <w:sz w:val="16"/>
                <w:szCs w:val="16"/>
              </w:rPr>
              <w:t xml:space="preserve">- </w:t>
            </w:r>
            <w:r w:rsidR="00D62150" w:rsidRPr="00B910FC">
              <w:rPr>
                <w:rFonts w:ascii="Calibri" w:hAnsi="Calibri" w:cs="Calibri"/>
                <w:sz w:val="16"/>
                <w:szCs w:val="16"/>
                <w:lang w:val="x-none"/>
              </w:rPr>
              <w:t>konštrukčný prvok  druhu D</w:t>
            </w:r>
            <w:r w:rsidR="00FF464F" w:rsidRPr="00B910FC">
              <w:rPr>
                <w:rFonts w:ascii="Calibri" w:hAnsi="Calibri" w:cs="Calibri"/>
                <w:sz w:val="16"/>
                <w:szCs w:val="16"/>
              </w:rPr>
              <w:t>3</w:t>
            </w:r>
            <w:r w:rsidR="00D62150" w:rsidRPr="00B910FC">
              <w:rPr>
                <w:rFonts w:ascii="Calibri" w:hAnsi="Calibri" w:cs="Calibri"/>
                <w:sz w:val="16"/>
                <w:szCs w:val="16"/>
                <w:lang w:val="x-none"/>
              </w:rPr>
              <w:t xml:space="preserve"> – podľa čl. 2.5.1 </w:t>
            </w:r>
            <w:r w:rsidR="006E42F4" w:rsidRPr="00B910FC">
              <w:rPr>
                <w:rFonts w:ascii="Calibri" w:hAnsi="Calibri" w:cs="Calibri"/>
                <w:sz w:val="16"/>
                <w:szCs w:val="16"/>
              </w:rPr>
              <w:t>c</w:t>
            </w:r>
            <w:r w:rsidR="00D62150" w:rsidRPr="00B910FC">
              <w:rPr>
                <w:rFonts w:ascii="Calibri" w:hAnsi="Calibri" w:cs="Calibri"/>
                <w:sz w:val="16"/>
                <w:szCs w:val="16"/>
                <w:lang w:val="x-none"/>
              </w:rPr>
              <w:t>) STN 92 0201-2</w:t>
            </w:r>
            <w:bookmarkEnd w:id="7"/>
          </w:p>
        </w:tc>
        <w:tc>
          <w:tcPr>
            <w:tcW w:w="1042" w:type="dxa"/>
            <w:shd w:val="clear" w:color="auto" w:fill="auto"/>
            <w:vAlign w:val="center"/>
          </w:tcPr>
          <w:p w14:paraId="173AA34C" w14:textId="67E66547" w:rsidR="00D62150" w:rsidRPr="00B910FC" w:rsidRDefault="00D62150" w:rsidP="00A25DE1">
            <w:pPr>
              <w:jc w:val="center"/>
              <w:outlineLvl w:val="0"/>
              <w:rPr>
                <w:rFonts w:ascii="Calibri" w:eastAsia="Calibri" w:hAnsi="Calibri" w:cs="Calibri"/>
                <w:sz w:val="16"/>
                <w:szCs w:val="16"/>
              </w:rPr>
            </w:pPr>
            <w:r w:rsidRPr="00B910FC">
              <w:rPr>
                <w:rFonts w:ascii="Calibri" w:eastAsia="Calibri" w:hAnsi="Calibri" w:cs="Calibri"/>
                <w:sz w:val="16"/>
                <w:szCs w:val="16"/>
              </w:rPr>
              <w:t>EI15</w:t>
            </w:r>
          </w:p>
        </w:tc>
        <w:tc>
          <w:tcPr>
            <w:tcW w:w="963" w:type="dxa"/>
            <w:shd w:val="clear" w:color="auto" w:fill="auto"/>
            <w:vAlign w:val="center"/>
          </w:tcPr>
          <w:p w14:paraId="3F975730" w14:textId="0CC83754" w:rsidR="00D62150" w:rsidRPr="00B910FC" w:rsidRDefault="00D62150" w:rsidP="00A25DE1">
            <w:pPr>
              <w:jc w:val="center"/>
              <w:outlineLvl w:val="0"/>
              <w:rPr>
                <w:rFonts w:ascii="Calibri" w:eastAsia="Calibri" w:hAnsi="Calibri" w:cs="Calibri"/>
                <w:sz w:val="16"/>
                <w:szCs w:val="16"/>
              </w:rPr>
            </w:pPr>
            <w:r w:rsidRPr="00B910FC">
              <w:rPr>
                <w:rFonts w:ascii="Calibri" w:eastAsia="Calibri" w:hAnsi="Calibri" w:cs="Calibri"/>
                <w:sz w:val="16"/>
                <w:szCs w:val="16"/>
              </w:rPr>
              <w:t>EI1</w:t>
            </w:r>
            <w:r w:rsidR="0029070F" w:rsidRPr="00B910FC">
              <w:rPr>
                <w:rFonts w:ascii="Calibri" w:eastAsia="Calibri" w:hAnsi="Calibri" w:cs="Calibri"/>
                <w:sz w:val="16"/>
                <w:szCs w:val="16"/>
              </w:rPr>
              <w:t>5</w:t>
            </w:r>
          </w:p>
        </w:tc>
      </w:tr>
      <w:tr w:rsidR="00D62150" w:rsidRPr="00CD2A61" w14:paraId="00C28A03" w14:textId="77777777" w:rsidTr="00534B2B">
        <w:trPr>
          <w:trHeight w:val="347"/>
        </w:trPr>
        <w:tc>
          <w:tcPr>
            <w:tcW w:w="2694" w:type="dxa"/>
            <w:shd w:val="clear" w:color="auto" w:fill="auto"/>
            <w:vAlign w:val="center"/>
          </w:tcPr>
          <w:p w14:paraId="7F1C5BD2" w14:textId="2EEB78FC" w:rsidR="00D62150" w:rsidRPr="00B910FC" w:rsidRDefault="00D62150" w:rsidP="00A25DE1">
            <w:pPr>
              <w:outlineLvl w:val="0"/>
              <w:rPr>
                <w:rFonts w:ascii="Calibri" w:eastAsia="Calibri" w:hAnsi="Calibri" w:cs="Calibri"/>
                <w:bCs/>
                <w:sz w:val="16"/>
                <w:szCs w:val="16"/>
              </w:rPr>
            </w:pPr>
            <w:r w:rsidRPr="00B910FC">
              <w:rPr>
                <w:rFonts w:ascii="Calibri" w:eastAsia="Calibri" w:hAnsi="Calibri" w:cs="Calibri"/>
                <w:bCs/>
                <w:sz w:val="16"/>
                <w:szCs w:val="16"/>
              </w:rPr>
              <w:t xml:space="preserve">Nosné konštr. </w:t>
            </w:r>
            <w:r w:rsidR="006E42F4" w:rsidRPr="00B910FC">
              <w:rPr>
                <w:rFonts w:ascii="Calibri" w:eastAsia="Calibri" w:hAnsi="Calibri" w:cs="Calibri"/>
                <w:bCs/>
                <w:sz w:val="16"/>
                <w:szCs w:val="16"/>
              </w:rPr>
              <w:t>zabezpeč. stabilitu stavby v posl. nadz. podlaží</w:t>
            </w:r>
          </w:p>
        </w:tc>
        <w:tc>
          <w:tcPr>
            <w:tcW w:w="3827" w:type="dxa"/>
            <w:shd w:val="clear" w:color="auto" w:fill="auto"/>
            <w:vAlign w:val="center"/>
          </w:tcPr>
          <w:p w14:paraId="3738EB1F" w14:textId="14EBCCC6" w:rsidR="00D62150" w:rsidRPr="00B910FC" w:rsidRDefault="006E42F4" w:rsidP="00A25DE1">
            <w:pPr>
              <w:widowControl w:val="0"/>
              <w:autoSpaceDE w:val="0"/>
              <w:autoSpaceDN w:val="0"/>
              <w:adjustRightInd w:val="0"/>
              <w:spacing w:before="40"/>
              <w:rPr>
                <w:rFonts w:ascii="Calibri" w:hAnsi="Calibri" w:cs="Calibri"/>
                <w:sz w:val="16"/>
                <w:szCs w:val="16"/>
                <w:lang w:val="x-none"/>
              </w:rPr>
            </w:pPr>
            <w:r w:rsidRPr="00B910FC">
              <w:rPr>
                <w:rFonts w:ascii="Calibri" w:hAnsi="Calibri" w:cs="Calibri"/>
                <w:sz w:val="16"/>
                <w:szCs w:val="16"/>
              </w:rPr>
              <w:t xml:space="preserve">Ocelové stĺpy </w:t>
            </w:r>
            <w:r w:rsidRPr="00B910FC">
              <w:rPr>
                <w:rFonts w:cstheme="minorHAnsi"/>
                <w:sz w:val="16"/>
                <w:szCs w:val="16"/>
              </w:rPr>
              <w:t>ø</w:t>
            </w:r>
            <w:r w:rsidRPr="00B910FC">
              <w:rPr>
                <w:rFonts w:ascii="Calibri" w:hAnsi="Calibri" w:cs="Calibri"/>
                <w:sz w:val="16"/>
                <w:szCs w:val="16"/>
              </w:rPr>
              <w:t xml:space="preserve">160 mm - </w:t>
            </w:r>
            <w:r w:rsidR="00D62150" w:rsidRPr="00B910FC">
              <w:rPr>
                <w:rFonts w:ascii="Calibri" w:hAnsi="Calibri" w:cs="Calibri"/>
                <w:sz w:val="16"/>
                <w:szCs w:val="16"/>
                <w:lang w:val="x-none"/>
              </w:rPr>
              <w:t xml:space="preserve"> konštrukčný prvok  druhu D1 – podľa čl. 2.5.1 a) STN 92 0201-2</w:t>
            </w:r>
          </w:p>
        </w:tc>
        <w:tc>
          <w:tcPr>
            <w:tcW w:w="1042" w:type="dxa"/>
            <w:shd w:val="clear" w:color="auto" w:fill="auto"/>
            <w:vAlign w:val="center"/>
          </w:tcPr>
          <w:p w14:paraId="1DA0E05A" w14:textId="5E26234B" w:rsidR="00D62150" w:rsidRPr="00B910FC" w:rsidRDefault="00D62150" w:rsidP="00A25DE1">
            <w:pPr>
              <w:jc w:val="center"/>
              <w:outlineLvl w:val="0"/>
              <w:rPr>
                <w:rFonts w:ascii="Calibri" w:eastAsia="Calibri" w:hAnsi="Calibri" w:cs="Calibri"/>
                <w:sz w:val="16"/>
                <w:szCs w:val="16"/>
              </w:rPr>
            </w:pPr>
            <w:r w:rsidRPr="00B910FC">
              <w:rPr>
                <w:rFonts w:ascii="Calibri" w:eastAsia="Calibri" w:hAnsi="Calibri" w:cs="Calibri"/>
                <w:sz w:val="16"/>
                <w:szCs w:val="16"/>
              </w:rPr>
              <w:t>R</w:t>
            </w:r>
            <w:r w:rsidR="006E42F4" w:rsidRPr="00B910FC">
              <w:rPr>
                <w:rFonts w:ascii="Calibri" w:eastAsia="Calibri" w:hAnsi="Calibri" w:cs="Calibri"/>
                <w:sz w:val="16"/>
                <w:szCs w:val="16"/>
              </w:rPr>
              <w:t>15</w:t>
            </w:r>
          </w:p>
        </w:tc>
        <w:tc>
          <w:tcPr>
            <w:tcW w:w="963" w:type="dxa"/>
            <w:shd w:val="clear" w:color="auto" w:fill="auto"/>
            <w:vAlign w:val="center"/>
          </w:tcPr>
          <w:p w14:paraId="3FCB993D" w14:textId="7140B324" w:rsidR="00D62150" w:rsidRPr="00B910FC" w:rsidRDefault="006E42F4" w:rsidP="00A25DE1">
            <w:pPr>
              <w:jc w:val="center"/>
              <w:outlineLvl w:val="0"/>
              <w:rPr>
                <w:rFonts w:ascii="Calibri" w:eastAsia="Calibri" w:hAnsi="Calibri" w:cs="Calibri"/>
                <w:sz w:val="16"/>
                <w:szCs w:val="16"/>
              </w:rPr>
            </w:pPr>
            <w:r w:rsidRPr="00B910FC">
              <w:rPr>
                <w:rFonts w:ascii="Calibri" w:eastAsia="Calibri" w:hAnsi="Calibri" w:cs="Calibri"/>
                <w:sz w:val="16"/>
                <w:szCs w:val="16"/>
              </w:rPr>
              <w:t>R-</w:t>
            </w:r>
          </w:p>
        </w:tc>
      </w:tr>
      <w:tr w:rsidR="00B740C5" w:rsidRPr="00CD2A61" w14:paraId="0FED80D7" w14:textId="77777777" w:rsidTr="00534B2B">
        <w:trPr>
          <w:trHeight w:val="347"/>
        </w:trPr>
        <w:tc>
          <w:tcPr>
            <w:tcW w:w="2694" w:type="dxa"/>
            <w:shd w:val="clear" w:color="auto" w:fill="auto"/>
            <w:vAlign w:val="center"/>
          </w:tcPr>
          <w:p w14:paraId="1C2F3D5D" w14:textId="156C10D9" w:rsidR="00B740C5" w:rsidRPr="00B910FC" w:rsidRDefault="00B740C5" w:rsidP="00A25DE1">
            <w:pPr>
              <w:outlineLvl w:val="0"/>
              <w:rPr>
                <w:rFonts w:ascii="Calibri" w:eastAsia="Calibri" w:hAnsi="Calibri" w:cs="Calibri"/>
                <w:bCs/>
                <w:sz w:val="16"/>
                <w:szCs w:val="16"/>
              </w:rPr>
            </w:pPr>
            <w:r w:rsidRPr="00B910FC">
              <w:rPr>
                <w:rFonts w:ascii="Calibri" w:eastAsia="Calibri" w:hAnsi="Calibri" w:cs="Calibri"/>
                <w:bCs/>
                <w:sz w:val="16"/>
                <w:szCs w:val="16"/>
              </w:rPr>
              <w:t>Nosné konštr. striech bez požiarnej deliacej funkcie</w:t>
            </w:r>
          </w:p>
        </w:tc>
        <w:tc>
          <w:tcPr>
            <w:tcW w:w="3827" w:type="dxa"/>
            <w:shd w:val="clear" w:color="auto" w:fill="auto"/>
            <w:vAlign w:val="center"/>
          </w:tcPr>
          <w:p w14:paraId="5B51DDF1" w14:textId="609DB909" w:rsidR="00B740C5" w:rsidRPr="00B910FC" w:rsidRDefault="00B740C5" w:rsidP="00A25DE1">
            <w:pPr>
              <w:widowControl w:val="0"/>
              <w:autoSpaceDE w:val="0"/>
              <w:autoSpaceDN w:val="0"/>
              <w:adjustRightInd w:val="0"/>
              <w:spacing w:before="40"/>
              <w:rPr>
                <w:rFonts w:ascii="Calibri" w:hAnsi="Calibri" w:cs="Calibri"/>
                <w:sz w:val="16"/>
                <w:szCs w:val="16"/>
              </w:rPr>
            </w:pPr>
            <w:r w:rsidRPr="00B910FC">
              <w:rPr>
                <w:rFonts w:ascii="Calibri" w:hAnsi="Calibri" w:cs="Calibri"/>
                <w:sz w:val="16"/>
                <w:szCs w:val="16"/>
              </w:rPr>
              <w:t xml:space="preserve">Ocelové stĺpy </w:t>
            </w:r>
            <w:r w:rsidRPr="00B910FC">
              <w:rPr>
                <w:rFonts w:cstheme="minorHAnsi"/>
                <w:sz w:val="16"/>
                <w:szCs w:val="16"/>
              </w:rPr>
              <w:t>ø</w:t>
            </w:r>
            <w:r w:rsidRPr="00B910FC">
              <w:rPr>
                <w:rFonts w:ascii="Calibri" w:hAnsi="Calibri" w:cs="Calibri"/>
                <w:sz w:val="16"/>
                <w:szCs w:val="16"/>
              </w:rPr>
              <w:t xml:space="preserve">160 mm - </w:t>
            </w:r>
            <w:r w:rsidRPr="00B910FC">
              <w:rPr>
                <w:rFonts w:ascii="Calibri" w:hAnsi="Calibri" w:cs="Calibri"/>
                <w:sz w:val="16"/>
                <w:szCs w:val="16"/>
                <w:lang w:val="x-none"/>
              </w:rPr>
              <w:t xml:space="preserve"> konštrukčný prvok  druhu D1 – podľa čl. 2.5.1 a) STN 92 0201-2</w:t>
            </w:r>
          </w:p>
        </w:tc>
        <w:tc>
          <w:tcPr>
            <w:tcW w:w="1042" w:type="dxa"/>
            <w:shd w:val="clear" w:color="auto" w:fill="auto"/>
            <w:vAlign w:val="center"/>
          </w:tcPr>
          <w:p w14:paraId="6EBC597D" w14:textId="5CA318E9" w:rsidR="00B740C5" w:rsidRPr="00B910FC" w:rsidRDefault="00B740C5" w:rsidP="00A25DE1">
            <w:pPr>
              <w:jc w:val="center"/>
              <w:outlineLvl w:val="0"/>
              <w:rPr>
                <w:rFonts w:ascii="Calibri" w:eastAsia="Calibri" w:hAnsi="Calibri" w:cs="Calibri"/>
                <w:sz w:val="16"/>
                <w:szCs w:val="16"/>
              </w:rPr>
            </w:pPr>
            <w:r w:rsidRPr="00B910FC">
              <w:rPr>
                <w:rFonts w:ascii="Calibri" w:eastAsia="Calibri" w:hAnsi="Calibri" w:cs="Calibri"/>
                <w:sz w:val="16"/>
                <w:szCs w:val="16"/>
              </w:rPr>
              <w:t>EI15</w:t>
            </w:r>
          </w:p>
        </w:tc>
        <w:tc>
          <w:tcPr>
            <w:tcW w:w="963" w:type="dxa"/>
            <w:shd w:val="clear" w:color="auto" w:fill="auto"/>
            <w:vAlign w:val="center"/>
          </w:tcPr>
          <w:p w14:paraId="4AC202AD" w14:textId="4FB3AC50" w:rsidR="00B740C5" w:rsidRPr="00B910FC" w:rsidRDefault="00B740C5" w:rsidP="00A25DE1">
            <w:pPr>
              <w:jc w:val="center"/>
              <w:outlineLvl w:val="0"/>
              <w:rPr>
                <w:rFonts w:ascii="Calibri" w:eastAsia="Calibri" w:hAnsi="Calibri" w:cs="Calibri"/>
                <w:sz w:val="16"/>
                <w:szCs w:val="16"/>
              </w:rPr>
            </w:pPr>
            <w:r w:rsidRPr="00B910FC">
              <w:rPr>
                <w:rFonts w:ascii="Calibri" w:eastAsia="Calibri" w:hAnsi="Calibri" w:cs="Calibri"/>
                <w:sz w:val="16"/>
                <w:szCs w:val="16"/>
              </w:rPr>
              <w:t>EI</w:t>
            </w:r>
            <w:r w:rsidR="009A4897" w:rsidRPr="00B910FC">
              <w:rPr>
                <w:rFonts w:ascii="Calibri" w:eastAsia="Calibri" w:hAnsi="Calibri" w:cs="Calibri"/>
                <w:sz w:val="16"/>
                <w:szCs w:val="16"/>
              </w:rPr>
              <w:t>-</w:t>
            </w:r>
          </w:p>
        </w:tc>
      </w:tr>
      <w:tr w:rsidR="00B740C5" w:rsidRPr="00CD2A61" w14:paraId="7C253FBB" w14:textId="77777777" w:rsidTr="00534B2B">
        <w:trPr>
          <w:trHeight w:val="347"/>
        </w:trPr>
        <w:tc>
          <w:tcPr>
            <w:tcW w:w="2694" w:type="dxa"/>
            <w:shd w:val="clear" w:color="auto" w:fill="auto"/>
            <w:vAlign w:val="center"/>
          </w:tcPr>
          <w:p w14:paraId="42354831" w14:textId="167D0C5A" w:rsidR="00B740C5" w:rsidRPr="00B910FC" w:rsidRDefault="00B740C5" w:rsidP="00B740C5">
            <w:pPr>
              <w:outlineLvl w:val="0"/>
              <w:rPr>
                <w:rFonts w:ascii="Calibri" w:eastAsia="Calibri" w:hAnsi="Calibri" w:cs="Calibri"/>
                <w:bCs/>
                <w:sz w:val="16"/>
                <w:szCs w:val="16"/>
              </w:rPr>
            </w:pPr>
            <w:r w:rsidRPr="00B910FC">
              <w:rPr>
                <w:rFonts w:ascii="Calibri" w:eastAsia="Calibri" w:hAnsi="Calibri" w:cs="Calibri"/>
                <w:bCs/>
                <w:sz w:val="16"/>
                <w:szCs w:val="16"/>
              </w:rPr>
              <w:t>Nosné konštr. zabezpeč. stabilitu stavby v posl. nadz. podlaží</w:t>
            </w:r>
          </w:p>
        </w:tc>
        <w:tc>
          <w:tcPr>
            <w:tcW w:w="3827" w:type="dxa"/>
            <w:shd w:val="clear" w:color="auto" w:fill="auto"/>
            <w:vAlign w:val="center"/>
          </w:tcPr>
          <w:p w14:paraId="7A0C8DBB" w14:textId="7294D528" w:rsidR="00B740C5" w:rsidRPr="00B910FC" w:rsidRDefault="00B740C5" w:rsidP="00B740C5">
            <w:pPr>
              <w:outlineLvl w:val="0"/>
              <w:rPr>
                <w:rFonts w:ascii="Calibri" w:eastAsia="Calibri" w:hAnsi="Calibri" w:cs="Calibri"/>
                <w:bCs/>
                <w:sz w:val="16"/>
                <w:szCs w:val="16"/>
              </w:rPr>
            </w:pPr>
            <w:r w:rsidRPr="00B910FC">
              <w:rPr>
                <w:rFonts w:ascii="Calibri" w:hAnsi="Calibri" w:cs="Calibri"/>
                <w:sz w:val="16"/>
                <w:szCs w:val="16"/>
              </w:rPr>
              <w:t xml:space="preserve">Ocelové väznice - </w:t>
            </w:r>
            <w:r w:rsidRPr="00B910FC">
              <w:rPr>
                <w:rFonts w:ascii="Calibri" w:hAnsi="Calibri" w:cs="Calibri"/>
                <w:sz w:val="16"/>
                <w:szCs w:val="16"/>
                <w:lang w:val="x-none"/>
              </w:rPr>
              <w:t xml:space="preserve"> konštrukčný prvok  druhu D1 – podľa čl. 2.5.1 a) STN 92 0201-2</w:t>
            </w:r>
          </w:p>
        </w:tc>
        <w:tc>
          <w:tcPr>
            <w:tcW w:w="1042" w:type="dxa"/>
            <w:shd w:val="clear" w:color="auto" w:fill="auto"/>
            <w:vAlign w:val="center"/>
          </w:tcPr>
          <w:p w14:paraId="4EA629A2" w14:textId="05779C85" w:rsidR="00B740C5" w:rsidRPr="00B910FC" w:rsidRDefault="00B740C5" w:rsidP="00B740C5">
            <w:pPr>
              <w:jc w:val="center"/>
              <w:outlineLvl w:val="0"/>
              <w:rPr>
                <w:rFonts w:ascii="Calibri" w:eastAsia="Calibri" w:hAnsi="Calibri" w:cs="Calibri"/>
                <w:sz w:val="16"/>
                <w:szCs w:val="16"/>
              </w:rPr>
            </w:pPr>
            <w:r w:rsidRPr="00B910FC">
              <w:rPr>
                <w:rFonts w:ascii="Calibri" w:eastAsia="Calibri" w:hAnsi="Calibri" w:cs="Calibri"/>
                <w:sz w:val="16"/>
                <w:szCs w:val="16"/>
              </w:rPr>
              <w:t>R15</w:t>
            </w:r>
          </w:p>
        </w:tc>
        <w:tc>
          <w:tcPr>
            <w:tcW w:w="963" w:type="dxa"/>
            <w:shd w:val="clear" w:color="auto" w:fill="auto"/>
            <w:vAlign w:val="center"/>
          </w:tcPr>
          <w:p w14:paraId="5797F881" w14:textId="49D643DE" w:rsidR="00B740C5" w:rsidRPr="00B910FC" w:rsidRDefault="00B740C5" w:rsidP="00B740C5">
            <w:pPr>
              <w:jc w:val="center"/>
              <w:outlineLvl w:val="0"/>
              <w:rPr>
                <w:rFonts w:ascii="Calibri" w:eastAsia="Calibri" w:hAnsi="Calibri" w:cs="Calibri"/>
                <w:sz w:val="16"/>
                <w:szCs w:val="16"/>
              </w:rPr>
            </w:pPr>
            <w:r w:rsidRPr="00B910FC">
              <w:rPr>
                <w:rFonts w:ascii="Calibri" w:eastAsia="Calibri" w:hAnsi="Calibri" w:cs="Calibri"/>
                <w:sz w:val="16"/>
                <w:szCs w:val="16"/>
              </w:rPr>
              <w:t>R-</w:t>
            </w:r>
          </w:p>
        </w:tc>
      </w:tr>
      <w:tr w:rsidR="00B740C5" w:rsidRPr="00CD2A61" w14:paraId="24489B8D" w14:textId="77777777" w:rsidTr="00534B2B">
        <w:trPr>
          <w:trHeight w:val="347"/>
        </w:trPr>
        <w:tc>
          <w:tcPr>
            <w:tcW w:w="2694" w:type="dxa"/>
            <w:shd w:val="clear" w:color="auto" w:fill="auto"/>
            <w:vAlign w:val="center"/>
          </w:tcPr>
          <w:p w14:paraId="3C0AE517" w14:textId="77777777" w:rsidR="00B740C5" w:rsidRPr="00B910FC" w:rsidRDefault="00B740C5" w:rsidP="00B740C5">
            <w:pPr>
              <w:ind w:left="851"/>
              <w:outlineLvl w:val="0"/>
              <w:rPr>
                <w:rFonts w:ascii="Calibri" w:eastAsia="Calibri" w:hAnsi="Calibri" w:cs="Calibri"/>
                <w:bCs/>
                <w:sz w:val="16"/>
                <w:szCs w:val="16"/>
              </w:rPr>
            </w:pPr>
            <w:r w:rsidRPr="00B910FC">
              <w:rPr>
                <w:rFonts w:ascii="Calibri" w:eastAsia="Calibri" w:hAnsi="Calibri" w:cs="Calibri"/>
                <w:bCs/>
                <w:sz w:val="16"/>
                <w:szCs w:val="16"/>
              </w:rPr>
              <w:lastRenderedPageBreak/>
              <w:t>Strešný plášť</w:t>
            </w:r>
          </w:p>
        </w:tc>
        <w:tc>
          <w:tcPr>
            <w:tcW w:w="3827" w:type="dxa"/>
            <w:shd w:val="clear" w:color="auto" w:fill="auto"/>
            <w:vAlign w:val="center"/>
          </w:tcPr>
          <w:p w14:paraId="09037C73" w14:textId="175CB1B2" w:rsidR="00B740C5" w:rsidRPr="00B910FC" w:rsidRDefault="00B740C5" w:rsidP="00B740C5">
            <w:pPr>
              <w:outlineLvl w:val="0"/>
              <w:rPr>
                <w:rFonts w:ascii="Calibri" w:eastAsia="Calibri" w:hAnsi="Calibri" w:cs="Calibri"/>
                <w:bCs/>
                <w:sz w:val="16"/>
                <w:szCs w:val="16"/>
              </w:rPr>
            </w:pPr>
            <w:r w:rsidRPr="00B910FC">
              <w:rPr>
                <w:rFonts w:ascii="Calibri" w:hAnsi="Calibri" w:cs="Calibri"/>
                <w:sz w:val="16"/>
                <w:szCs w:val="16"/>
              </w:rPr>
              <w:t xml:space="preserve">Sendvičové PIR panely hr.80mm - </w:t>
            </w:r>
            <w:r w:rsidRPr="00B910FC">
              <w:rPr>
                <w:rFonts w:ascii="Calibri" w:hAnsi="Calibri" w:cs="Calibri"/>
                <w:sz w:val="16"/>
                <w:szCs w:val="16"/>
                <w:lang w:val="x-none"/>
              </w:rPr>
              <w:t>konštrukčný prvok  druhu D</w:t>
            </w:r>
            <w:r w:rsidRPr="00B910FC">
              <w:rPr>
                <w:rFonts w:ascii="Calibri" w:hAnsi="Calibri" w:cs="Calibri"/>
                <w:sz w:val="16"/>
                <w:szCs w:val="16"/>
              </w:rPr>
              <w:t>3</w:t>
            </w:r>
            <w:r w:rsidRPr="00B910FC">
              <w:rPr>
                <w:rFonts w:ascii="Calibri" w:hAnsi="Calibri" w:cs="Calibri"/>
                <w:sz w:val="16"/>
                <w:szCs w:val="16"/>
                <w:lang w:val="x-none"/>
              </w:rPr>
              <w:t xml:space="preserve"> – podľa čl. 2.5.1 </w:t>
            </w:r>
            <w:r w:rsidRPr="00B910FC">
              <w:rPr>
                <w:rFonts w:ascii="Calibri" w:hAnsi="Calibri" w:cs="Calibri"/>
                <w:sz w:val="16"/>
                <w:szCs w:val="16"/>
              </w:rPr>
              <w:t>c</w:t>
            </w:r>
            <w:r w:rsidRPr="00B910FC">
              <w:rPr>
                <w:rFonts w:ascii="Calibri" w:hAnsi="Calibri" w:cs="Calibri"/>
                <w:sz w:val="16"/>
                <w:szCs w:val="16"/>
                <w:lang w:val="x-none"/>
              </w:rPr>
              <w:t>) STN 92 0201-2</w:t>
            </w:r>
          </w:p>
        </w:tc>
        <w:tc>
          <w:tcPr>
            <w:tcW w:w="1042" w:type="dxa"/>
            <w:shd w:val="clear" w:color="auto" w:fill="auto"/>
            <w:vAlign w:val="center"/>
          </w:tcPr>
          <w:p w14:paraId="65C9FA21" w14:textId="15DA2A76" w:rsidR="00B740C5" w:rsidRPr="00B910FC" w:rsidRDefault="00B740C5" w:rsidP="00B740C5">
            <w:pPr>
              <w:jc w:val="center"/>
              <w:outlineLvl w:val="0"/>
              <w:rPr>
                <w:rFonts w:ascii="Calibri" w:eastAsia="Calibri" w:hAnsi="Calibri" w:cs="Calibri"/>
                <w:sz w:val="16"/>
                <w:szCs w:val="16"/>
              </w:rPr>
            </w:pPr>
            <w:r w:rsidRPr="00B910FC">
              <w:rPr>
                <w:rFonts w:ascii="Calibri" w:eastAsia="Calibri" w:hAnsi="Calibri" w:cs="Calibri"/>
                <w:sz w:val="16"/>
                <w:szCs w:val="16"/>
              </w:rPr>
              <w:t>EI15</w:t>
            </w:r>
          </w:p>
        </w:tc>
        <w:tc>
          <w:tcPr>
            <w:tcW w:w="963" w:type="dxa"/>
            <w:shd w:val="clear" w:color="auto" w:fill="auto"/>
            <w:vAlign w:val="center"/>
          </w:tcPr>
          <w:p w14:paraId="108DA03A" w14:textId="6D9BC024" w:rsidR="00B740C5" w:rsidRPr="00B910FC" w:rsidRDefault="00B740C5" w:rsidP="00B740C5">
            <w:pPr>
              <w:jc w:val="center"/>
              <w:outlineLvl w:val="0"/>
              <w:rPr>
                <w:rFonts w:ascii="Calibri" w:eastAsia="Calibri" w:hAnsi="Calibri" w:cs="Calibri"/>
                <w:sz w:val="16"/>
                <w:szCs w:val="16"/>
              </w:rPr>
            </w:pPr>
            <w:r w:rsidRPr="00B910FC">
              <w:rPr>
                <w:rFonts w:ascii="Calibri" w:eastAsia="Calibri" w:hAnsi="Calibri" w:cs="Calibri"/>
                <w:sz w:val="16"/>
                <w:szCs w:val="16"/>
              </w:rPr>
              <w:t>EI15</w:t>
            </w:r>
          </w:p>
        </w:tc>
      </w:tr>
    </w:tbl>
    <w:p w14:paraId="2B9FB70B" w14:textId="77777777" w:rsidR="00D62150" w:rsidRPr="00CD2A61" w:rsidRDefault="00D62150" w:rsidP="00D62150">
      <w:pPr>
        <w:pStyle w:val="Szvegtrzs"/>
        <w:rPr>
          <w:rFonts w:ascii="Calibri" w:hAnsi="Calibri"/>
          <w:sz w:val="20"/>
          <w:szCs w:val="20"/>
          <w:lang w:eastAsia="ar-SA"/>
        </w:rPr>
      </w:pPr>
      <w:r w:rsidRPr="00CD2A61">
        <w:rPr>
          <w:rFonts w:ascii="Calibri" w:hAnsi="Calibri"/>
          <w:sz w:val="20"/>
          <w:szCs w:val="20"/>
          <w:lang w:eastAsia="ar-SA"/>
        </w:rPr>
        <w:t>Hodnoty protipožiarnej odolnosti navrhovaných stavebných konštrukcií sú len informatívne podľa STN EN 1992-1-2, STN EN 1996-1-2 a STN 73 0821. Skutočnú protipožiarnu odolnosť stavebných konštrukcií je potrebné dokladovať certifikátmi, alebo preukázaním zhody.</w:t>
      </w:r>
    </w:p>
    <w:p w14:paraId="293DE914" w14:textId="77777777" w:rsidR="00D62150" w:rsidRPr="00CD2A61" w:rsidRDefault="00D62150" w:rsidP="00D62150">
      <w:pPr>
        <w:pStyle w:val="Szvegtrzs"/>
        <w:tabs>
          <w:tab w:val="left" w:pos="7920"/>
        </w:tabs>
        <w:rPr>
          <w:rFonts w:ascii="Calibri" w:hAnsi="Calibri"/>
          <w:b/>
          <w:sz w:val="20"/>
          <w:szCs w:val="20"/>
          <w:lang w:eastAsia="ar-SA"/>
        </w:rPr>
      </w:pPr>
    </w:p>
    <w:p w14:paraId="47237410" w14:textId="77777777" w:rsidR="00D62150" w:rsidRPr="00CD2A61" w:rsidRDefault="00D62150" w:rsidP="00D62150">
      <w:pPr>
        <w:pStyle w:val="Szvegtrzs"/>
        <w:tabs>
          <w:tab w:val="left" w:pos="7920"/>
        </w:tabs>
        <w:rPr>
          <w:rFonts w:ascii="Calibri" w:hAnsi="Calibri"/>
          <w:b/>
          <w:sz w:val="20"/>
          <w:szCs w:val="20"/>
          <w:lang w:eastAsia="ar-SA"/>
        </w:rPr>
      </w:pPr>
      <w:r w:rsidRPr="00CD2A61">
        <w:rPr>
          <w:rFonts w:ascii="Calibri" w:hAnsi="Calibri"/>
          <w:b/>
          <w:sz w:val="20"/>
          <w:szCs w:val="20"/>
          <w:lang w:eastAsia="ar-SA"/>
        </w:rPr>
        <w:t>Použité označenia a skratky:</w:t>
      </w:r>
    </w:p>
    <w:p w14:paraId="362874D0" w14:textId="77777777" w:rsidR="00D62150" w:rsidRPr="00CD2A61" w:rsidRDefault="00D62150" w:rsidP="00D62150">
      <w:pPr>
        <w:tabs>
          <w:tab w:val="left" w:pos="360"/>
          <w:tab w:val="left" w:pos="7920"/>
        </w:tabs>
        <w:jc w:val="both"/>
        <w:rPr>
          <w:rFonts w:ascii="Calibri" w:hAnsi="Calibri"/>
          <w:sz w:val="20"/>
          <w:szCs w:val="20"/>
          <w:lang w:val="x-none" w:eastAsia="ar-SA"/>
        </w:rPr>
      </w:pPr>
      <w:r w:rsidRPr="00CD2A61">
        <w:rPr>
          <w:rFonts w:ascii="Calibri" w:hAnsi="Calibri"/>
          <w:sz w:val="20"/>
          <w:szCs w:val="20"/>
          <w:lang w:val="x-none" w:eastAsia="ar-SA"/>
        </w:rPr>
        <w:t>Požiarn</w:t>
      </w:r>
      <w:r w:rsidRPr="00CD2A61">
        <w:rPr>
          <w:rFonts w:ascii="Calibri" w:hAnsi="Calibri"/>
          <w:sz w:val="20"/>
          <w:szCs w:val="20"/>
          <w:lang w:eastAsia="ar-SA"/>
        </w:rPr>
        <w:t>e</w:t>
      </w:r>
      <w:r w:rsidRPr="00CD2A61">
        <w:rPr>
          <w:rFonts w:ascii="Calibri" w:hAnsi="Calibri"/>
          <w:sz w:val="20"/>
          <w:szCs w:val="20"/>
          <w:lang w:val="x-none" w:eastAsia="ar-SA"/>
        </w:rPr>
        <w:t xml:space="preserve"> </w:t>
      </w:r>
      <w:r w:rsidRPr="00CD2A61">
        <w:rPr>
          <w:rFonts w:ascii="Calibri" w:hAnsi="Calibri"/>
          <w:sz w:val="20"/>
          <w:szCs w:val="20"/>
          <w:lang w:eastAsia="ar-SA"/>
        </w:rPr>
        <w:t>konštrukcie</w:t>
      </w:r>
      <w:r w:rsidRPr="00CD2A61">
        <w:rPr>
          <w:rFonts w:ascii="Calibri" w:hAnsi="Calibri"/>
          <w:sz w:val="20"/>
          <w:szCs w:val="20"/>
          <w:lang w:val="x-none" w:eastAsia="ar-SA"/>
        </w:rPr>
        <w:t xml:space="preserve"> mus</w:t>
      </w:r>
      <w:r w:rsidRPr="00CD2A61">
        <w:rPr>
          <w:rFonts w:ascii="Calibri" w:hAnsi="Calibri"/>
          <w:sz w:val="20"/>
          <w:szCs w:val="20"/>
          <w:lang w:eastAsia="ar-SA"/>
        </w:rPr>
        <w:t xml:space="preserve">ia </w:t>
      </w:r>
      <w:r w:rsidRPr="00CD2A61">
        <w:rPr>
          <w:rFonts w:ascii="Calibri" w:hAnsi="Calibri"/>
          <w:sz w:val="20"/>
          <w:szCs w:val="20"/>
          <w:lang w:val="x-none" w:eastAsia="ar-SA"/>
        </w:rPr>
        <w:t>spĺňať tieto kritériá podľa prílohy č.3, k vyhláške č. 94/2004 Z.z.</w:t>
      </w:r>
    </w:p>
    <w:p w14:paraId="1954A13B" w14:textId="77777777" w:rsidR="00A54C63" w:rsidRDefault="00D62150" w:rsidP="00A54C63">
      <w:pPr>
        <w:tabs>
          <w:tab w:val="left" w:pos="360"/>
          <w:tab w:val="left" w:pos="7920"/>
        </w:tabs>
        <w:spacing w:after="0"/>
        <w:jc w:val="both"/>
        <w:rPr>
          <w:rFonts w:ascii="Calibri" w:hAnsi="Calibri"/>
          <w:sz w:val="20"/>
          <w:szCs w:val="20"/>
          <w:lang w:eastAsia="ar-SA"/>
        </w:rPr>
      </w:pPr>
      <w:r w:rsidRPr="00CD2A61">
        <w:rPr>
          <w:rFonts w:ascii="Calibri" w:hAnsi="Calibri"/>
          <w:sz w:val="20"/>
          <w:szCs w:val="20"/>
          <w:lang w:eastAsia="ar-SA"/>
        </w:rPr>
        <w:t xml:space="preserve">Nosné prvky bez požiarnej deliacej funkcie                  </w:t>
      </w:r>
      <w:r w:rsidRPr="00CD2A61">
        <w:rPr>
          <w:rFonts w:ascii="Calibri" w:hAnsi="Calibri"/>
          <w:sz w:val="20"/>
          <w:szCs w:val="20"/>
          <w:lang w:val="x-none" w:eastAsia="ar-SA"/>
        </w:rPr>
        <w:t>R – nosné steny</w:t>
      </w:r>
      <w:r w:rsidRPr="00CD2A61">
        <w:rPr>
          <w:rFonts w:ascii="Calibri" w:hAnsi="Calibri"/>
          <w:sz w:val="20"/>
          <w:szCs w:val="20"/>
          <w:lang w:eastAsia="ar-SA"/>
        </w:rPr>
        <w:t>, strechy, nosníky</w:t>
      </w:r>
    </w:p>
    <w:p w14:paraId="6EB2CEF4" w14:textId="54213755" w:rsidR="00D62150" w:rsidRPr="00CD2A61" w:rsidRDefault="00D62150" w:rsidP="00A54C63">
      <w:pPr>
        <w:tabs>
          <w:tab w:val="left" w:pos="360"/>
          <w:tab w:val="left" w:pos="7920"/>
        </w:tabs>
        <w:jc w:val="both"/>
        <w:rPr>
          <w:rFonts w:ascii="Calibri" w:hAnsi="Calibri"/>
          <w:sz w:val="20"/>
          <w:szCs w:val="20"/>
          <w:lang w:eastAsia="ar-SA"/>
        </w:rPr>
      </w:pPr>
      <w:r w:rsidRPr="00CD2A61">
        <w:rPr>
          <w:rFonts w:ascii="Calibri" w:hAnsi="Calibri"/>
          <w:sz w:val="20"/>
          <w:szCs w:val="20"/>
          <w:lang w:eastAsia="ar-SA"/>
        </w:rPr>
        <w:t xml:space="preserve">Nosné obvodové steny </w:t>
      </w:r>
    </w:p>
    <w:p w14:paraId="5CBA644B" w14:textId="77777777" w:rsidR="00D62150" w:rsidRPr="00CD2A61" w:rsidRDefault="00D62150" w:rsidP="00D62150">
      <w:pPr>
        <w:pStyle w:val="Szvegtrzs"/>
        <w:tabs>
          <w:tab w:val="left" w:pos="7920"/>
        </w:tabs>
        <w:rPr>
          <w:rFonts w:ascii="Calibri" w:hAnsi="Calibri"/>
          <w:sz w:val="20"/>
          <w:szCs w:val="20"/>
          <w:lang w:eastAsia="ar-SA"/>
        </w:rPr>
      </w:pPr>
      <w:r w:rsidRPr="00CD2A61">
        <w:rPr>
          <w:rFonts w:ascii="Calibri" w:hAnsi="Calibri"/>
          <w:sz w:val="20"/>
          <w:szCs w:val="20"/>
          <w:lang w:eastAsia="ar-SA"/>
        </w:rPr>
        <w:t>a        REW – obvodová stena zabezpečujúca stabilitu stavby - z vnútornej strany</w:t>
      </w:r>
    </w:p>
    <w:p w14:paraId="75A6829C" w14:textId="77777777" w:rsidR="00D62150" w:rsidRPr="00CD2A61" w:rsidRDefault="00D62150" w:rsidP="00D62150">
      <w:pPr>
        <w:pStyle w:val="Szvegtrzs3"/>
        <w:rPr>
          <w:rFonts w:ascii="Calibri" w:hAnsi="Calibri"/>
          <w:sz w:val="20"/>
          <w:szCs w:val="20"/>
          <w:lang w:eastAsia="ar-SA"/>
        </w:rPr>
      </w:pPr>
      <w:r w:rsidRPr="00CD2A61">
        <w:rPr>
          <w:rFonts w:ascii="Calibri" w:hAnsi="Calibri"/>
          <w:sz w:val="20"/>
          <w:szCs w:val="20"/>
          <w:lang w:eastAsia="ar-SA"/>
        </w:rPr>
        <w:t>b        REI - obvodová stena zabezpečujúca stabilitu stavby - z vonkajšej strany</w:t>
      </w:r>
    </w:p>
    <w:p w14:paraId="0FED940F" w14:textId="77777777" w:rsidR="00D62150" w:rsidRPr="00CD2A61" w:rsidRDefault="00D62150" w:rsidP="00D62150">
      <w:pPr>
        <w:pStyle w:val="Szvegtrzs3"/>
        <w:rPr>
          <w:rFonts w:ascii="Calibri" w:hAnsi="Calibri"/>
          <w:sz w:val="20"/>
          <w:szCs w:val="20"/>
          <w:lang w:eastAsia="ar-SA"/>
        </w:rPr>
      </w:pPr>
      <w:r w:rsidRPr="00CD2A61">
        <w:rPr>
          <w:rFonts w:ascii="Calibri" w:hAnsi="Calibri"/>
          <w:sz w:val="20"/>
          <w:szCs w:val="20"/>
          <w:lang w:eastAsia="ar-SA"/>
        </w:rPr>
        <w:t>Ochrana konštrukcií obkladmi                                         R</w:t>
      </w:r>
    </w:p>
    <w:p w14:paraId="2855C0D1" w14:textId="77777777" w:rsidR="00D62150" w:rsidRPr="00CD2A61" w:rsidRDefault="00D62150" w:rsidP="00D62150">
      <w:pPr>
        <w:pStyle w:val="Szvegtrzs3"/>
        <w:rPr>
          <w:rFonts w:ascii="Calibri" w:hAnsi="Calibri"/>
          <w:sz w:val="20"/>
          <w:szCs w:val="20"/>
          <w:lang w:eastAsia="ar-SA"/>
        </w:rPr>
      </w:pPr>
      <w:r w:rsidRPr="00CD2A61">
        <w:rPr>
          <w:rFonts w:ascii="Calibri" w:hAnsi="Calibri"/>
          <w:sz w:val="20"/>
          <w:szCs w:val="20"/>
          <w:lang w:eastAsia="ar-SA"/>
        </w:rPr>
        <w:t>Nenosné steny (priečky)                                                   EI</w:t>
      </w:r>
    </w:p>
    <w:p w14:paraId="7CD2E2B2" w14:textId="77777777" w:rsidR="00D62150" w:rsidRPr="00CD2A61" w:rsidRDefault="00D62150" w:rsidP="00D62150">
      <w:pPr>
        <w:pStyle w:val="Szvegtrzs3"/>
        <w:rPr>
          <w:rFonts w:ascii="Calibri" w:hAnsi="Calibri"/>
          <w:sz w:val="20"/>
          <w:szCs w:val="20"/>
          <w:lang w:eastAsia="ar-SA"/>
        </w:rPr>
      </w:pPr>
      <w:r w:rsidRPr="00CD2A61">
        <w:rPr>
          <w:rFonts w:ascii="Calibri" w:hAnsi="Calibri"/>
          <w:sz w:val="20"/>
          <w:szCs w:val="20"/>
          <w:lang w:eastAsia="ar-SA"/>
        </w:rPr>
        <w:t>Podhľady s nezávislou požiarnou odolnosťou               EI</w:t>
      </w:r>
    </w:p>
    <w:p w14:paraId="133CC3A6" w14:textId="77777777" w:rsidR="00EF6F0E" w:rsidRPr="00CD2A61" w:rsidRDefault="00EF6F0E" w:rsidP="00EF6F0E">
      <w:pPr>
        <w:pStyle w:val="Listaszerbekezds"/>
        <w:spacing w:after="0" w:line="240" w:lineRule="auto"/>
        <w:ind w:left="0" w:firstLine="567"/>
        <w:jc w:val="both"/>
        <w:rPr>
          <w:rFonts w:cstheme="minorHAnsi"/>
          <w:sz w:val="20"/>
          <w:szCs w:val="20"/>
        </w:rPr>
      </w:pPr>
    </w:p>
    <w:p w14:paraId="4C87C897" w14:textId="77777777" w:rsidR="00DF487F" w:rsidRPr="00CD2A61" w:rsidRDefault="00DF487F" w:rsidP="004C2CCB">
      <w:pPr>
        <w:pStyle w:val="Listaszerbekezds"/>
        <w:numPr>
          <w:ilvl w:val="1"/>
          <w:numId w:val="7"/>
        </w:numPr>
        <w:spacing w:after="0"/>
        <w:ind w:left="1134" w:hanging="567"/>
        <w:jc w:val="both"/>
        <w:rPr>
          <w:rFonts w:cstheme="minorHAnsi"/>
          <w:b/>
          <w:sz w:val="20"/>
          <w:szCs w:val="20"/>
        </w:rPr>
      </w:pPr>
      <w:bookmarkStart w:id="8" w:name="_Hlk133313413"/>
      <w:r w:rsidRPr="00CD2A61">
        <w:rPr>
          <w:rFonts w:cstheme="minorHAnsi"/>
          <w:b/>
          <w:sz w:val="20"/>
          <w:szCs w:val="20"/>
        </w:rPr>
        <w:t>Únikové cesty</w:t>
      </w:r>
    </w:p>
    <w:bookmarkEnd w:id="8"/>
    <w:p w14:paraId="4C87C898" w14:textId="77777777" w:rsidR="004E6269" w:rsidRPr="00CD2A61" w:rsidRDefault="004E6269" w:rsidP="004C2CCB">
      <w:pPr>
        <w:pStyle w:val="Listaszerbekezds"/>
        <w:spacing w:after="0"/>
        <w:ind w:left="792"/>
        <w:jc w:val="both"/>
        <w:rPr>
          <w:rFonts w:cstheme="minorHAnsi"/>
          <w:b/>
          <w:sz w:val="20"/>
          <w:szCs w:val="20"/>
        </w:rPr>
      </w:pPr>
    </w:p>
    <w:p w14:paraId="3DD3C7FC"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 xml:space="preserve">Únik osôb je zabezpečený zo skladu NÚC s východom rovno na voľné priestranstvo.  Počty evakuovaných osôb boli zadané priamo – v súlade so STN 92 0241. Počet, dĺžka a šírka NÚC v plnom rozsahu vyhovuje požiadavkám §65, §68 a §69 vyhl. MV č. 94/2004 Z.z. i STN 92 0201-3. Podlahy na oboch stranách dverí vyhovujú požiadavkám stanovených v §70, ods. 1 vyhlášky a čl. 17.14 STN 92 0201-3.  </w:t>
      </w:r>
    </w:p>
    <w:p w14:paraId="00ABDC1A"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 xml:space="preserve">V zmysle čl. 17.3 STN 92 0201-3 sa dvere na začiatku únikovej cesty, ÚC z miestnosti alebo ucelenej skupiny miestností môžu otvárať aj proti smeru úniku evakuovaných osôb. Únikové cesty nemusia byť vybavené núdzovým osvetlením – slúžia pre menej ako 50 osôb </w:t>
      </w:r>
      <w:bookmarkStart w:id="9" w:name="_Hlk141284407"/>
      <w:r w:rsidRPr="008C645C">
        <w:rPr>
          <w:rFonts w:cstheme="minorHAnsi"/>
          <w:sz w:val="20"/>
          <w:szCs w:val="20"/>
        </w:rPr>
        <w:t xml:space="preserve">(§73 ods. 2 vyhl. č. 94/2004 Z.z.). </w:t>
      </w:r>
      <w:bookmarkEnd w:id="9"/>
      <w:r w:rsidRPr="008C645C">
        <w:rPr>
          <w:rFonts w:cstheme="minorHAnsi"/>
          <w:sz w:val="20"/>
          <w:szCs w:val="20"/>
        </w:rPr>
        <w:t xml:space="preserve">Únikové cesty musia byť počas prevádzky osvetlené denným alebo umelým svetlom. </w:t>
      </w:r>
    </w:p>
    <w:p w14:paraId="5C2784D8"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 xml:space="preserve">ÚC ako i smer úniku bude označený tabuľkami podľa nariadenia vlády SR č. 387/2006 Z.z. a §74 vyhlášky. Na únikových cestách sa odporúča označiť bezpečnostným značením podľa STN 01 8010 všetky miesta, kde je ohrozený, alebo sťažený pohyb osôb na únikovej ceste a v jej okolí. V priestoroch únikových ciest, kde nie je priamo viditeľný smer úniku východu na voľné priestranstvo musí byť označený smer úniku požiarnymi bezpečnostnými značkami. Podľa čl. 19.2. STN 92 0201-3 veľkosť bezpečnostnej značky sa navrhuje podľa STN 01 8010. Bezpečnostná značka a požiarna značka na informovanie viditeľné z diaľky sa odporúča navrhnúť vyššie ako 2 500 mm alebo nad zriaďovacie predmety a bezpečnostné značky viditeľné z blízka vo výške 1 500 mm podľa STN 01 8013. Bezpečnostné značky sú aj žiarivkové svietidlá s vlastným akumulátorom a s grafickým symbolom smeru úniku. </w:t>
      </w:r>
    </w:p>
    <w:p w14:paraId="73204389"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 xml:space="preserve">Iné osobitné zariadenia na vybavenia ÚC sa v zmysle vyhlášky nevyžadujú. </w:t>
      </w:r>
    </w:p>
    <w:p w14:paraId="1FBAB04C" w14:textId="77777777" w:rsidR="008C645C" w:rsidRDefault="008C645C" w:rsidP="008C645C">
      <w:pPr>
        <w:tabs>
          <w:tab w:val="left" w:pos="360"/>
          <w:tab w:val="left" w:pos="7920"/>
        </w:tabs>
        <w:suppressAutoHyphens/>
        <w:spacing w:after="0" w:line="240" w:lineRule="auto"/>
        <w:jc w:val="both"/>
        <w:rPr>
          <w:rFonts w:ascii="Tw Cen MT Condensed" w:eastAsia="Times New Roman" w:hAnsi="Tw Cen MT Condensed" w:cs="Times New Roman"/>
          <w:b/>
          <w:sz w:val="20"/>
          <w:szCs w:val="20"/>
          <w:lang w:eastAsia="ar-SA"/>
        </w:rPr>
      </w:pPr>
    </w:p>
    <w:p w14:paraId="3F356AB7" w14:textId="37CBC7BF" w:rsidR="008C645C" w:rsidRPr="008C645C" w:rsidRDefault="008C645C" w:rsidP="008C645C">
      <w:pPr>
        <w:tabs>
          <w:tab w:val="left" w:pos="360"/>
          <w:tab w:val="left" w:pos="7920"/>
        </w:tabs>
        <w:suppressAutoHyphens/>
        <w:spacing w:after="0" w:line="240" w:lineRule="auto"/>
        <w:jc w:val="both"/>
        <w:rPr>
          <w:rFonts w:ascii="Tw Cen MT Condensed" w:eastAsia="Times New Roman" w:hAnsi="Tw Cen MT Condensed" w:cs="Times New Roman"/>
          <w:b/>
          <w:sz w:val="20"/>
          <w:szCs w:val="20"/>
          <w:lang w:eastAsia="ar-SA"/>
        </w:rPr>
      </w:pPr>
      <w:r w:rsidRPr="008C645C">
        <w:rPr>
          <w:rFonts w:ascii="Tw Cen MT Condensed" w:eastAsia="Times New Roman" w:hAnsi="Tw Cen MT Condensed" w:cs="Times New Roman"/>
          <w:b/>
          <w:sz w:val="20"/>
          <w:szCs w:val="20"/>
          <w:lang w:eastAsia="ar-SA"/>
        </w:rPr>
        <w:t>Výpočet evakuácie osôb</w:t>
      </w:r>
    </w:p>
    <w:p w14:paraId="7F4BD2BB" w14:textId="77777777" w:rsidR="008C645C" w:rsidRPr="008C645C" w:rsidRDefault="008C645C" w:rsidP="008C645C">
      <w:pPr>
        <w:tabs>
          <w:tab w:val="left" w:pos="360"/>
        </w:tabs>
        <w:spacing w:after="0"/>
        <w:jc w:val="both"/>
        <w:rPr>
          <w:rFonts w:ascii="Calibri" w:hAnsi="Calibri"/>
          <w:sz w:val="20"/>
          <w:szCs w:val="20"/>
        </w:rPr>
      </w:pPr>
      <w:r w:rsidRPr="008C645C">
        <w:rPr>
          <w:rFonts w:ascii="Calibri" w:hAnsi="Calibri"/>
          <w:sz w:val="20"/>
          <w:szCs w:val="20"/>
        </w:rPr>
        <w:t>Predpokladaný čas evakuácie osôb:</w:t>
      </w:r>
    </w:p>
    <w:p w14:paraId="1AE0517D" w14:textId="77777777" w:rsidR="008C645C" w:rsidRPr="008C645C" w:rsidRDefault="008C645C" w:rsidP="00B86B20">
      <w:pPr>
        <w:tabs>
          <w:tab w:val="left" w:pos="360"/>
        </w:tabs>
        <w:spacing w:after="0" w:line="240" w:lineRule="auto"/>
        <w:jc w:val="both"/>
        <w:rPr>
          <w:rFonts w:ascii="Calibri" w:hAnsi="Calibri"/>
          <w:sz w:val="20"/>
          <w:szCs w:val="20"/>
        </w:rPr>
      </w:pPr>
    </w:p>
    <w:p w14:paraId="2AA2DE23"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 xml:space="preserve">        </w:t>
      </w:r>
      <w:r w:rsidRPr="008C645C">
        <w:rPr>
          <w:rFonts w:ascii="Calibri" w:hAnsi="Calibri" w:cs="Arial"/>
          <w:sz w:val="20"/>
          <w:szCs w:val="20"/>
        </w:rPr>
        <w:t xml:space="preserve">   l</w:t>
      </w:r>
      <w:r w:rsidRPr="008C645C">
        <w:rPr>
          <w:rFonts w:ascii="Calibri" w:hAnsi="Calibri" w:cs="Arial"/>
          <w:sz w:val="20"/>
          <w:szCs w:val="20"/>
          <w:vertAlign w:val="subscript"/>
        </w:rPr>
        <w:t>u</w:t>
      </w:r>
      <w:r w:rsidRPr="008C645C">
        <w:rPr>
          <w:rFonts w:ascii="Calibri" w:hAnsi="Calibri"/>
          <w:sz w:val="20"/>
          <w:szCs w:val="20"/>
          <w:vertAlign w:val="subscript"/>
        </w:rPr>
        <w:t xml:space="preserve"> </w:t>
      </w:r>
      <w:r w:rsidRPr="008C645C">
        <w:rPr>
          <w:rFonts w:ascii="Calibri" w:hAnsi="Calibri"/>
          <w:sz w:val="20"/>
          <w:szCs w:val="20"/>
        </w:rPr>
        <w:t xml:space="preserve">          </w:t>
      </w:r>
      <w:r w:rsidRPr="008C645C">
        <w:rPr>
          <w:rFonts w:ascii="Calibri" w:hAnsi="Calibri" w:cs="Arial"/>
          <w:sz w:val="20"/>
          <w:szCs w:val="20"/>
        </w:rPr>
        <w:t>E x s</w:t>
      </w:r>
      <w:r w:rsidRPr="008C645C">
        <w:rPr>
          <w:rFonts w:ascii="Calibri" w:hAnsi="Calibri"/>
          <w:sz w:val="20"/>
          <w:szCs w:val="20"/>
          <w:vertAlign w:val="subscript"/>
        </w:rPr>
        <w:t xml:space="preserve"> </w:t>
      </w:r>
      <w:r w:rsidRPr="008C645C">
        <w:rPr>
          <w:rFonts w:ascii="Calibri" w:hAnsi="Calibri"/>
          <w:sz w:val="20"/>
          <w:szCs w:val="20"/>
        </w:rPr>
        <w:t xml:space="preserve">        </w:t>
      </w:r>
    </w:p>
    <w:p w14:paraId="4530A142"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t</w:t>
      </w:r>
      <w:r w:rsidRPr="008C645C">
        <w:rPr>
          <w:rFonts w:ascii="Calibri" w:hAnsi="Calibri"/>
          <w:sz w:val="20"/>
          <w:szCs w:val="20"/>
          <w:vertAlign w:val="subscript"/>
        </w:rPr>
        <w:t>u</w:t>
      </w:r>
      <w:r w:rsidRPr="008C645C">
        <w:rPr>
          <w:rFonts w:ascii="Calibri" w:hAnsi="Calibri"/>
          <w:sz w:val="20"/>
          <w:szCs w:val="20"/>
        </w:rPr>
        <w:t xml:space="preserve"> = ------- + -----------</w:t>
      </w:r>
    </w:p>
    <w:p w14:paraId="75A731D2"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 xml:space="preserve">           v</w:t>
      </w:r>
      <w:r w:rsidRPr="008C645C">
        <w:rPr>
          <w:rFonts w:ascii="Calibri" w:hAnsi="Calibri"/>
          <w:sz w:val="20"/>
          <w:szCs w:val="20"/>
          <w:vertAlign w:val="subscript"/>
        </w:rPr>
        <w:t xml:space="preserve">u </w:t>
      </w:r>
      <w:r w:rsidRPr="008C645C">
        <w:rPr>
          <w:rFonts w:ascii="Calibri" w:hAnsi="Calibri"/>
          <w:sz w:val="20"/>
          <w:szCs w:val="20"/>
        </w:rPr>
        <w:t xml:space="preserve">        K</w:t>
      </w:r>
      <w:r w:rsidRPr="008C645C">
        <w:rPr>
          <w:rFonts w:ascii="Calibri" w:hAnsi="Calibri"/>
          <w:sz w:val="20"/>
          <w:szCs w:val="20"/>
          <w:vertAlign w:val="subscript"/>
        </w:rPr>
        <w:t xml:space="preserve">u </w:t>
      </w:r>
      <w:r w:rsidRPr="008C645C">
        <w:rPr>
          <w:rFonts w:ascii="Calibri" w:hAnsi="Calibri"/>
          <w:sz w:val="20"/>
          <w:szCs w:val="20"/>
        </w:rPr>
        <w:t>x u</w:t>
      </w:r>
    </w:p>
    <w:p w14:paraId="2A2F451E" w14:textId="77777777" w:rsidR="008C645C" w:rsidRPr="008C645C" w:rsidRDefault="008C645C" w:rsidP="00B86B20">
      <w:pPr>
        <w:tabs>
          <w:tab w:val="left" w:pos="426"/>
        </w:tabs>
        <w:spacing w:after="0" w:line="240" w:lineRule="auto"/>
        <w:jc w:val="both"/>
        <w:rPr>
          <w:rFonts w:ascii="Calibri" w:hAnsi="Calibri"/>
          <w:sz w:val="20"/>
          <w:szCs w:val="20"/>
        </w:rPr>
      </w:pPr>
    </w:p>
    <w:p w14:paraId="727B653D" w14:textId="77777777" w:rsidR="008C645C" w:rsidRPr="008C645C" w:rsidRDefault="008C645C" w:rsidP="008C645C">
      <w:pPr>
        <w:tabs>
          <w:tab w:val="left" w:pos="426"/>
        </w:tabs>
        <w:spacing w:after="0"/>
        <w:jc w:val="both"/>
        <w:rPr>
          <w:rFonts w:ascii="Calibri" w:hAnsi="Calibri"/>
          <w:sz w:val="20"/>
          <w:szCs w:val="20"/>
          <w:vertAlign w:val="superscript"/>
        </w:rPr>
      </w:pPr>
      <w:r w:rsidRPr="008C645C">
        <w:rPr>
          <w:rFonts w:ascii="Calibri" w:hAnsi="Calibri"/>
          <w:sz w:val="20"/>
          <w:szCs w:val="20"/>
        </w:rPr>
        <w:t>t</w:t>
      </w:r>
      <w:r w:rsidRPr="008C645C">
        <w:rPr>
          <w:rFonts w:ascii="Calibri" w:hAnsi="Calibri"/>
          <w:sz w:val="20"/>
          <w:szCs w:val="20"/>
          <w:vertAlign w:val="subscript"/>
        </w:rPr>
        <w:t>u</w:t>
      </w:r>
      <w:r w:rsidRPr="008C645C">
        <w:rPr>
          <w:rFonts w:ascii="Calibri" w:hAnsi="Calibri" w:cs="Arial"/>
          <w:sz w:val="20"/>
          <w:szCs w:val="20"/>
        </w:rPr>
        <w:t xml:space="preserve">      predpokládaný čas evakuácie osôb v min</w:t>
      </w:r>
    </w:p>
    <w:p w14:paraId="02E7D118" w14:textId="77777777" w:rsidR="008C645C" w:rsidRPr="008C645C" w:rsidRDefault="008C645C" w:rsidP="008C645C">
      <w:pPr>
        <w:tabs>
          <w:tab w:val="left" w:pos="426"/>
        </w:tabs>
        <w:spacing w:after="0"/>
        <w:jc w:val="both"/>
        <w:rPr>
          <w:rFonts w:ascii="Calibri" w:hAnsi="Calibri"/>
          <w:sz w:val="20"/>
          <w:szCs w:val="20"/>
          <w:vertAlign w:val="superscript"/>
        </w:rPr>
      </w:pPr>
      <w:r w:rsidRPr="008C645C">
        <w:rPr>
          <w:rFonts w:ascii="Calibri" w:hAnsi="Calibri"/>
          <w:sz w:val="20"/>
          <w:szCs w:val="20"/>
        </w:rPr>
        <w:t>l</w:t>
      </w:r>
      <w:r w:rsidRPr="008C645C">
        <w:rPr>
          <w:rFonts w:ascii="Calibri" w:hAnsi="Calibri"/>
          <w:sz w:val="20"/>
          <w:szCs w:val="20"/>
          <w:vertAlign w:val="subscript"/>
        </w:rPr>
        <w:t>u</w:t>
      </w:r>
      <w:r w:rsidRPr="008C645C">
        <w:rPr>
          <w:rFonts w:ascii="Calibri" w:hAnsi="Calibri"/>
          <w:sz w:val="20"/>
          <w:szCs w:val="20"/>
        </w:rPr>
        <w:t xml:space="preserve">      dĺžka únikovej cesty v metroch</w:t>
      </w:r>
    </w:p>
    <w:p w14:paraId="124D49FB"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v</w:t>
      </w:r>
      <w:r w:rsidRPr="008C645C">
        <w:rPr>
          <w:rFonts w:ascii="Calibri" w:hAnsi="Calibri"/>
          <w:sz w:val="20"/>
          <w:szCs w:val="20"/>
          <w:vertAlign w:val="subscript"/>
        </w:rPr>
        <w:t xml:space="preserve">u     </w:t>
      </w:r>
      <w:r w:rsidRPr="008C645C">
        <w:rPr>
          <w:rFonts w:ascii="Calibri" w:hAnsi="Calibri"/>
          <w:sz w:val="20"/>
          <w:szCs w:val="20"/>
        </w:rPr>
        <w:t xml:space="preserve">  rýchlost pohybu osôb  v m/min</w:t>
      </w:r>
    </w:p>
    <w:p w14:paraId="3A1BE7DF"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E      počet evakuovaných osob</w:t>
      </w:r>
    </w:p>
    <w:p w14:paraId="5B9B1DA4"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 xml:space="preserve">s       súčiniteľ podmienok evakuácie osob </w:t>
      </w:r>
    </w:p>
    <w:p w14:paraId="68CD0F4B"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K</w:t>
      </w:r>
      <w:r w:rsidRPr="008C645C">
        <w:rPr>
          <w:rFonts w:ascii="Calibri" w:hAnsi="Calibri"/>
          <w:sz w:val="20"/>
          <w:szCs w:val="20"/>
          <w:vertAlign w:val="subscript"/>
        </w:rPr>
        <w:t>u</w:t>
      </w:r>
      <w:r w:rsidRPr="008C645C">
        <w:rPr>
          <w:rFonts w:ascii="Calibri" w:hAnsi="Calibri"/>
          <w:sz w:val="20"/>
          <w:szCs w:val="20"/>
        </w:rPr>
        <w:t xml:space="preserve">     jednotková kapacita únikového pruhu v počte osôb za minútu</w:t>
      </w:r>
    </w:p>
    <w:p w14:paraId="1DD08D9C"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u      započítateľný počet únikových pruhov = 1,5</w:t>
      </w:r>
    </w:p>
    <w:p w14:paraId="64D55995" w14:textId="77777777" w:rsidR="008C645C" w:rsidRPr="008C645C" w:rsidRDefault="008C645C" w:rsidP="008C645C">
      <w:pPr>
        <w:tabs>
          <w:tab w:val="left" w:pos="360"/>
        </w:tabs>
        <w:spacing w:after="0"/>
        <w:jc w:val="both"/>
        <w:rPr>
          <w:rFonts w:ascii="Calibri" w:hAnsi="Calibri"/>
          <w:sz w:val="20"/>
          <w:szCs w:val="20"/>
        </w:rPr>
      </w:pPr>
    </w:p>
    <w:tbl>
      <w:tblPr>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850"/>
        <w:gridCol w:w="1276"/>
        <w:gridCol w:w="1417"/>
        <w:gridCol w:w="851"/>
        <w:gridCol w:w="992"/>
        <w:gridCol w:w="992"/>
        <w:gridCol w:w="993"/>
      </w:tblGrid>
      <w:tr w:rsidR="008C645C" w:rsidRPr="008C645C" w14:paraId="40DCAC16" w14:textId="77777777" w:rsidTr="00A25DE1">
        <w:trPr>
          <w:trHeight w:val="421"/>
        </w:trPr>
        <w:tc>
          <w:tcPr>
            <w:tcW w:w="1276" w:type="dxa"/>
          </w:tcPr>
          <w:p w14:paraId="67DAA702" w14:textId="77777777" w:rsidR="008C645C" w:rsidRPr="008C645C" w:rsidRDefault="008C645C" w:rsidP="008C645C">
            <w:pPr>
              <w:autoSpaceDE w:val="0"/>
              <w:autoSpaceDN w:val="0"/>
              <w:adjustRightInd w:val="0"/>
              <w:spacing w:after="0"/>
              <w:rPr>
                <w:rFonts w:ascii="Calibri" w:hAnsi="Calibri" w:cs="TimesNewRomanPSMT"/>
                <w:sz w:val="16"/>
                <w:szCs w:val="16"/>
                <w:lang w:eastAsia="sk-SK"/>
              </w:rPr>
            </w:pPr>
            <w:r w:rsidRPr="008C645C">
              <w:rPr>
                <w:rFonts w:ascii="Calibri" w:hAnsi="Calibri" w:cs="TimesNewRomanPSMT"/>
                <w:sz w:val="16"/>
                <w:szCs w:val="16"/>
                <w:lang w:eastAsia="sk-SK"/>
              </w:rPr>
              <w:lastRenderedPageBreak/>
              <w:t>Počet evakuovaných osôb "E"</w:t>
            </w:r>
          </w:p>
        </w:tc>
        <w:tc>
          <w:tcPr>
            <w:tcW w:w="850" w:type="dxa"/>
          </w:tcPr>
          <w:p w14:paraId="4A45D78F" w14:textId="77777777" w:rsidR="008C645C" w:rsidRPr="008C645C" w:rsidRDefault="008C645C" w:rsidP="008C645C">
            <w:pPr>
              <w:autoSpaceDE w:val="0"/>
              <w:autoSpaceDN w:val="0"/>
              <w:adjustRightInd w:val="0"/>
              <w:spacing w:after="0"/>
              <w:rPr>
                <w:rFonts w:ascii="Calibri" w:hAnsi="Calibri" w:cs="TimesNewRomanPSMT"/>
                <w:sz w:val="16"/>
                <w:szCs w:val="16"/>
                <w:lang w:eastAsia="sk-SK"/>
              </w:rPr>
            </w:pPr>
            <w:r w:rsidRPr="008C645C">
              <w:rPr>
                <w:rFonts w:ascii="Calibri" w:hAnsi="Calibri" w:cs="TimesNewRomanPSMT"/>
                <w:sz w:val="16"/>
                <w:szCs w:val="16"/>
                <w:lang w:eastAsia="sk-SK"/>
              </w:rPr>
              <w:t>Sučiniteľ</w:t>
            </w:r>
          </w:p>
          <w:p w14:paraId="746B6F00" w14:textId="77777777" w:rsidR="008C645C" w:rsidRPr="008C645C" w:rsidRDefault="008C645C" w:rsidP="008C645C">
            <w:pPr>
              <w:tabs>
                <w:tab w:val="left" w:pos="360"/>
              </w:tabs>
              <w:suppressAutoHyphens/>
              <w:spacing w:after="0" w:line="240" w:lineRule="auto"/>
              <w:jc w:val="both"/>
              <w:rPr>
                <w:rFonts w:ascii="Calibri" w:eastAsia="Times New Roman" w:hAnsi="Calibri" w:cs="Times New Roman"/>
                <w:sz w:val="16"/>
                <w:szCs w:val="16"/>
                <w:lang w:eastAsia="ar-SA"/>
              </w:rPr>
            </w:pPr>
            <w:r w:rsidRPr="008C645C">
              <w:rPr>
                <w:rFonts w:ascii="Calibri" w:eastAsia="Times New Roman" w:hAnsi="Calibri" w:cs="TimesNewRomanPSMT"/>
                <w:sz w:val="16"/>
                <w:szCs w:val="16"/>
                <w:lang w:eastAsia="sk-SK"/>
              </w:rPr>
              <w:t>"s"</w:t>
            </w:r>
          </w:p>
        </w:tc>
        <w:tc>
          <w:tcPr>
            <w:tcW w:w="1276" w:type="dxa"/>
          </w:tcPr>
          <w:p w14:paraId="588E3BF9" w14:textId="77777777" w:rsidR="008C645C" w:rsidRPr="008C645C" w:rsidRDefault="008C645C" w:rsidP="008C645C">
            <w:pPr>
              <w:autoSpaceDE w:val="0"/>
              <w:autoSpaceDN w:val="0"/>
              <w:adjustRightInd w:val="0"/>
              <w:spacing w:after="0"/>
              <w:rPr>
                <w:rFonts w:ascii="Calibri" w:hAnsi="Calibri" w:cs="TimesNewRomanPSMT"/>
                <w:sz w:val="16"/>
                <w:szCs w:val="16"/>
                <w:lang w:eastAsia="sk-SK"/>
              </w:rPr>
            </w:pPr>
            <w:r w:rsidRPr="008C645C">
              <w:rPr>
                <w:rFonts w:ascii="Calibri" w:hAnsi="Calibri" w:cs="TimesNewRomanPSMT"/>
                <w:sz w:val="16"/>
                <w:szCs w:val="16"/>
                <w:lang w:eastAsia="sk-SK"/>
              </w:rPr>
              <w:t>Rýchlosť pohybu</w:t>
            </w:r>
          </w:p>
          <w:p w14:paraId="639FABBA" w14:textId="77777777" w:rsidR="008C645C" w:rsidRPr="008C645C" w:rsidRDefault="008C645C" w:rsidP="008C645C">
            <w:pPr>
              <w:tabs>
                <w:tab w:val="left" w:pos="360"/>
              </w:tabs>
              <w:suppressAutoHyphens/>
              <w:spacing w:after="0" w:line="240" w:lineRule="auto"/>
              <w:jc w:val="both"/>
              <w:rPr>
                <w:rFonts w:ascii="Calibri" w:eastAsia="Times New Roman" w:hAnsi="Calibri" w:cs="Times New Roman"/>
                <w:sz w:val="16"/>
                <w:szCs w:val="16"/>
                <w:lang w:eastAsia="ar-SA"/>
              </w:rPr>
            </w:pPr>
            <w:r w:rsidRPr="008C645C">
              <w:rPr>
                <w:rFonts w:ascii="Calibri" w:eastAsia="Times New Roman" w:hAnsi="Calibri" w:cs="TimesNewRomanPSMT"/>
                <w:sz w:val="16"/>
                <w:szCs w:val="16"/>
                <w:lang w:eastAsia="sk-SK"/>
              </w:rPr>
              <w:t>"vu" [m.min-1]</w:t>
            </w:r>
          </w:p>
        </w:tc>
        <w:tc>
          <w:tcPr>
            <w:tcW w:w="1417" w:type="dxa"/>
          </w:tcPr>
          <w:p w14:paraId="7F8BEA77" w14:textId="77777777" w:rsidR="008C645C" w:rsidRPr="008C645C" w:rsidRDefault="008C645C" w:rsidP="008C645C">
            <w:pPr>
              <w:autoSpaceDE w:val="0"/>
              <w:autoSpaceDN w:val="0"/>
              <w:adjustRightInd w:val="0"/>
              <w:spacing w:after="0"/>
              <w:rPr>
                <w:rFonts w:ascii="Calibri" w:hAnsi="Calibri" w:cs="TimesNewRomanPSMT"/>
                <w:sz w:val="16"/>
                <w:szCs w:val="16"/>
                <w:lang w:eastAsia="sk-SK"/>
              </w:rPr>
            </w:pPr>
            <w:r w:rsidRPr="008C645C">
              <w:rPr>
                <w:rFonts w:ascii="Calibri" w:hAnsi="Calibri" w:cs="TimesNewRomanPSMT"/>
                <w:sz w:val="16"/>
                <w:szCs w:val="16"/>
                <w:lang w:eastAsia="sk-SK"/>
              </w:rPr>
              <w:t>Kapacita únik. pruhu</w:t>
            </w:r>
          </w:p>
          <w:p w14:paraId="35AEC6A6" w14:textId="77777777" w:rsidR="008C645C" w:rsidRPr="008C645C" w:rsidRDefault="008C645C" w:rsidP="008C645C">
            <w:pPr>
              <w:tabs>
                <w:tab w:val="left" w:pos="360"/>
              </w:tabs>
              <w:suppressAutoHyphens/>
              <w:spacing w:after="0" w:line="240" w:lineRule="auto"/>
              <w:jc w:val="both"/>
              <w:rPr>
                <w:rFonts w:ascii="Calibri" w:eastAsia="Times New Roman" w:hAnsi="Calibri" w:cs="Times New Roman"/>
                <w:sz w:val="16"/>
                <w:szCs w:val="16"/>
                <w:lang w:eastAsia="ar-SA"/>
              </w:rPr>
            </w:pPr>
            <w:r w:rsidRPr="008C645C">
              <w:rPr>
                <w:rFonts w:ascii="Calibri" w:eastAsia="Times New Roman" w:hAnsi="Calibri" w:cs="TimesNewRomanPSMT"/>
                <w:sz w:val="16"/>
                <w:szCs w:val="16"/>
                <w:lang w:eastAsia="sk-SK"/>
              </w:rPr>
              <w:t>"Ku" [os.min-1]</w:t>
            </w:r>
          </w:p>
        </w:tc>
        <w:tc>
          <w:tcPr>
            <w:tcW w:w="851" w:type="dxa"/>
          </w:tcPr>
          <w:p w14:paraId="0D07AC0B" w14:textId="77777777" w:rsidR="008C645C" w:rsidRPr="008C645C" w:rsidRDefault="008C645C" w:rsidP="008C645C">
            <w:pPr>
              <w:autoSpaceDE w:val="0"/>
              <w:autoSpaceDN w:val="0"/>
              <w:adjustRightInd w:val="0"/>
              <w:spacing w:after="0"/>
              <w:rPr>
                <w:rFonts w:ascii="Calibri" w:hAnsi="Calibri" w:cs="TimesNewRomanPSMT"/>
                <w:sz w:val="16"/>
                <w:szCs w:val="16"/>
                <w:lang w:eastAsia="sk-SK"/>
              </w:rPr>
            </w:pPr>
            <w:r w:rsidRPr="008C645C">
              <w:rPr>
                <w:rFonts w:ascii="Calibri" w:hAnsi="Calibri" w:cs="TimesNewRomanPSMT"/>
                <w:sz w:val="16"/>
                <w:szCs w:val="16"/>
                <w:lang w:eastAsia="sk-SK"/>
              </w:rPr>
              <w:t>Dľžka ÚC</w:t>
            </w:r>
          </w:p>
          <w:p w14:paraId="7A5FDE63" w14:textId="77777777" w:rsidR="008C645C" w:rsidRPr="008C645C" w:rsidRDefault="008C645C" w:rsidP="008C645C">
            <w:pPr>
              <w:tabs>
                <w:tab w:val="left" w:pos="360"/>
              </w:tabs>
              <w:suppressAutoHyphens/>
              <w:spacing w:after="0" w:line="240" w:lineRule="auto"/>
              <w:jc w:val="both"/>
              <w:rPr>
                <w:rFonts w:ascii="Calibri" w:eastAsia="Times New Roman" w:hAnsi="Calibri" w:cs="Times New Roman"/>
                <w:sz w:val="16"/>
                <w:szCs w:val="16"/>
                <w:lang w:eastAsia="ar-SA"/>
              </w:rPr>
            </w:pPr>
            <w:r w:rsidRPr="008C645C">
              <w:rPr>
                <w:rFonts w:ascii="Calibri" w:eastAsia="Times New Roman" w:hAnsi="Calibri" w:cs="TimesNewRomanPSMT"/>
                <w:sz w:val="16"/>
                <w:szCs w:val="16"/>
                <w:lang w:eastAsia="sk-SK"/>
              </w:rPr>
              <w:t>"lu" [m]</w:t>
            </w:r>
          </w:p>
        </w:tc>
        <w:tc>
          <w:tcPr>
            <w:tcW w:w="992" w:type="dxa"/>
          </w:tcPr>
          <w:p w14:paraId="4AE3653D" w14:textId="77777777" w:rsidR="008C645C" w:rsidRPr="008C645C" w:rsidRDefault="008C645C" w:rsidP="008C645C">
            <w:pPr>
              <w:autoSpaceDE w:val="0"/>
              <w:autoSpaceDN w:val="0"/>
              <w:adjustRightInd w:val="0"/>
              <w:spacing w:after="0"/>
              <w:rPr>
                <w:rFonts w:ascii="Calibri" w:hAnsi="Calibri" w:cs="TimesNewRomanPSMT"/>
                <w:sz w:val="16"/>
                <w:szCs w:val="16"/>
                <w:lang w:eastAsia="sk-SK"/>
              </w:rPr>
            </w:pPr>
            <w:r w:rsidRPr="008C645C">
              <w:rPr>
                <w:rFonts w:ascii="Calibri" w:hAnsi="Calibri" w:cs="TimesNewRomanPSMT"/>
                <w:sz w:val="16"/>
                <w:szCs w:val="16"/>
                <w:lang w:eastAsia="sk-SK"/>
              </w:rPr>
              <w:t>Dov. čas evakuácie</w:t>
            </w:r>
          </w:p>
          <w:p w14:paraId="10AFB6F2" w14:textId="77777777" w:rsidR="008C645C" w:rsidRPr="008C645C" w:rsidRDefault="008C645C" w:rsidP="008C645C">
            <w:pPr>
              <w:autoSpaceDE w:val="0"/>
              <w:autoSpaceDN w:val="0"/>
              <w:adjustRightInd w:val="0"/>
              <w:spacing w:after="0"/>
              <w:rPr>
                <w:rFonts w:ascii="Calibri" w:hAnsi="Calibri" w:cs="TimesNewRomanPSMT"/>
                <w:sz w:val="16"/>
                <w:szCs w:val="16"/>
                <w:lang w:eastAsia="sk-SK"/>
              </w:rPr>
            </w:pPr>
            <w:r w:rsidRPr="008C645C">
              <w:rPr>
                <w:rFonts w:ascii="Calibri" w:hAnsi="Calibri" w:cs="TimesNewRomanPSMT"/>
                <w:sz w:val="16"/>
                <w:szCs w:val="16"/>
                <w:lang w:eastAsia="sk-SK"/>
              </w:rPr>
              <w:t>"tud" [min]</w:t>
            </w:r>
          </w:p>
        </w:tc>
        <w:tc>
          <w:tcPr>
            <w:tcW w:w="992" w:type="dxa"/>
          </w:tcPr>
          <w:p w14:paraId="400A16F7" w14:textId="77777777" w:rsidR="008C645C" w:rsidRPr="008C645C" w:rsidRDefault="008C645C" w:rsidP="008C645C">
            <w:pPr>
              <w:autoSpaceDE w:val="0"/>
              <w:autoSpaceDN w:val="0"/>
              <w:adjustRightInd w:val="0"/>
              <w:spacing w:after="0"/>
              <w:rPr>
                <w:rFonts w:ascii="Calibri" w:hAnsi="Calibri" w:cs="TimesNewRomanPSMT"/>
                <w:sz w:val="16"/>
                <w:szCs w:val="16"/>
                <w:lang w:eastAsia="sk-SK"/>
              </w:rPr>
            </w:pPr>
            <w:r w:rsidRPr="008C645C">
              <w:rPr>
                <w:rFonts w:ascii="Calibri" w:hAnsi="Calibri" w:cs="TimesNewRomanPSMT"/>
                <w:sz w:val="16"/>
                <w:szCs w:val="16"/>
                <w:lang w:eastAsia="sk-SK"/>
              </w:rPr>
              <w:t>Skut. čas evakuácie</w:t>
            </w:r>
          </w:p>
          <w:p w14:paraId="5E1FCC48" w14:textId="77777777" w:rsidR="008C645C" w:rsidRPr="008C645C" w:rsidRDefault="008C645C" w:rsidP="008C645C">
            <w:pPr>
              <w:tabs>
                <w:tab w:val="left" w:pos="360"/>
              </w:tabs>
              <w:suppressAutoHyphens/>
              <w:spacing w:after="0" w:line="240" w:lineRule="auto"/>
              <w:jc w:val="both"/>
              <w:rPr>
                <w:rFonts w:ascii="Calibri" w:eastAsia="Times New Roman" w:hAnsi="Calibri" w:cs="Times New Roman"/>
                <w:sz w:val="16"/>
                <w:szCs w:val="16"/>
                <w:lang w:eastAsia="ar-SA"/>
              </w:rPr>
            </w:pPr>
            <w:r w:rsidRPr="008C645C">
              <w:rPr>
                <w:rFonts w:ascii="Calibri" w:eastAsia="Times New Roman" w:hAnsi="Calibri" w:cs="TimesNewRomanPSMT"/>
                <w:sz w:val="16"/>
                <w:szCs w:val="16"/>
                <w:lang w:eastAsia="sk-SK"/>
              </w:rPr>
              <w:t>"tu" [min]</w:t>
            </w:r>
          </w:p>
        </w:tc>
        <w:tc>
          <w:tcPr>
            <w:tcW w:w="993" w:type="dxa"/>
          </w:tcPr>
          <w:p w14:paraId="04ECDC19" w14:textId="77777777" w:rsidR="008C645C" w:rsidRPr="008C645C" w:rsidRDefault="008C645C" w:rsidP="008C645C">
            <w:pPr>
              <w:autoSpaceDE w:val="0"/>
              <w:autoSpaceDN w:val="0"/>
              <w:adjustRightInd w:val="0"/>
              <w:spacing w:after="0"/>
              <w:rPr>
                <w:rFonts w:ascii="Calibri" w:hAnsi="Calibri" w:cs="TimesNewRomanPSMT"/>
                <w:sz w:val="16"/>
                <w:szCs w:val="16"/>
                <w:lang w:eastAsia="sk-SK"/>
              </w:rPr>
            </w:pPr>
            <w:r w:rsidRPr="008C645C">
              <w:rPr>
                <w:rFonts w:ascii="Calibri" w:hAnsi="Calibri" w:cs="TimesNewRomanPSMT"/>
                <w:sz w:val="16"/>
                <w:szCs w:val="16"/>
                <w:lang w:eastAsia="sk-SK"/>
              </w:rPr>
              <w:t>Dov. dľžka ÚC</w:t>
            </w:r>
          </w:p>
          <w:p w14:paraId="0DC45AD1" w14:textId="77777777" w:rsidR="008C645C" w:rsidRPr="008C645C" w:rsidRDefault="008C645C" w:rsidP="008C645C">
            <w:pPr>
              <w:tabs>
                <w:tab w:val="left" w:pos="360"/>
              </w:tabs>
              <w:suppressAutoHyphens/>
              <w:spacing w:after="0" w:line="240" w:lineRule="auto"/>
              <w:jc w:val="both"/>
              <w:rPr>
                <w:rFonts w:ascii="Calibri" w:eastAsia="Times New Roman" w:hAnsi="Calibri" w:cs="Times New Roman"/>
                <w:sz w:val="16"/>
                <w:szCs w:val="16"/>
                <w:lang w:eastAsia="ar-SA"/>
              </w:rPr>
            </w:pPr>
            <w:r w:rsidRPr="008C645C">
              <w:rPr>
                <w:rFonts w:ascii="Calibri" w:eastAsia="Times New Roman" w:hAnsi="Calibri" w:cs="TimesNewRomanPSMT"/>
                <w:sz w:val="16"/>
                <w:szCs w:val="16"/>
                <w:lang w:eastAsia="sk-SK"/>
              </w:rPr>
              <w:t>"lud"</w:t>
            </w:r>
          </w:p>
        </w:tc>
      </w:tr>
      <w:tr w:rsidR="008C645C" w:rsidRPr="008C645C" w14:paraId="13F9EE7E" w14:textId="77777777" w:rsidTr="00A25DE1">
        <w:tc>
          <w:tcPr>
            <w:tcW w:w="1276" w:type="dxa"/>
          </w:tcPr>
          <w:p w14:paraId="6CC2AF9E" w14:textId="79DF0120" w:rsidR="008C645C" w:rsidRPr="008C645C" w:rsidRDefault="0030136B" w:rsidP="008C645C">
            <w:pPr>
              <w:tabs>
                <w:tab w:val="left" w:pos="360"/>
              </w:tabs>
              <w:suppressAutoHyphens/>
              <w:spacing w:after="0" w:line="240" w:lineRule="auto"/>
              <w:jc w:val="center"/>
              <w:rPr>
                <w:rFonts w:ascii="Calibri" w:hAnsi="Calibri"/>
                <w:sz w:val="20"/>
                <w:szCs w:val="20"/>
              </w:rPr>
            </w:pPr>
            <w:r>
              <w:rPr>
                <w:rFonts w:ascii="Calibri" w:hAnsi="Calibri"/>
                <w:sz w:val="20"/>
                <w:szCs w:val="20"/>
              </w:rPr>
              <w:t>12</w:t>
            </w:r>
          </w:p>
        </w:tc>
        <w:tc>
          <w:tcPr>
            <w:tcW w:w="850" w:type="dxa"/>
            <w:vAlign w:val="center"/>
          </w:tcPr>
          <w:p w14:paraId="03D82242" w14:textId="77777777" w:rsidR="008C645C" w:rsidRPr="008C645C" w:rsidRDefault="008C645C" w:rsidP="008C645C">
            <w:pPr>
              <w:tabs>
                <w:tab w:val="left" w:pos="360"/>
              </w:tabs>
              <w:suppressAutoHyphens/>
              <w:spacing w:after="0" w:line="240" w:lineRule="auto"/>
              <w:jc w:val="center"/>
              <w:rPr>
                <w:rFonts w:ascii="Calibri" w:hAnsi="Calibri"/>
                <w:sz w:val="20"/>
                <w:szCs w:val="20"/>
              </w:rPr>
            </w:pPr>
            <w:r w:rsidRPr="008C645C">
              <w:rPr>
                <w:rFonts w:ascii="Calibri" w:hAnsi="Calibri"/>
                <w:sz w:val="20"/>
                <w:szCs w:val="20"/>
              </w:rPr>
              <w:t>1</w:t>
            </w:r>
          </w:p>
        </w:tc>
        <w:tc>
          <w:tcPr>
            <w:tcW w:w="1276" w:type="dxa"/>
            <w:vAlign w:val="center"/>
          </w:tcPr>
          <w:p w14:paraId="15A6FA26" w14:textId="77777777" w:rsidR="008C645C" w:rsidRPr="008C645C" w:rsidRDefault="008C645C" w:rsidP="008C645C">
            <w:pPr>
              <w:tabs>
                <w:tab w:val="left" w:pos="360"/>
              </w:tabs>
              <w:suppressAutoHyphens/>
              <w:spacing w:after="0" w:line="240" w:lineRule="auto"/>
              <w:jc w:val="center"/>
              <w:rPr>
                <w:rFonts w:ascii="Calibri" w:hAnsi="Calibri"/>
                <w:sz w:val="20"/>
                <w:szCs w:val="20"/>
              </w:rPr>
            </w:pPr>
            <w:r w:rsidRPr="008C645C">
              <w:rPr>
                <w:rFonts w:ascii="Calibri" w:hAnsi="Calibri"/>
                <w:sz w:val="20"/>
                <w:szCs w:val="20"/>
              </w:rPr>
              <w:t>30</w:t>
            </w:r>
          </w:p>
        </w:tc>
        <w:tc>
          <w:tcPr>
            <w:tcW w:w="1417" w:type="dxa"/>
            <w:vAlign w:val="center"/>
          </w:tcPr>
          <w:p w14:paraId="41D731D0" w14:textId="77777777" w:rsidR="008C645C" w:rsidRPr="008C645C" w:rsidRDefault="008C645C" w:rsidP="008C645C">
            <w:pPr>
              <w:tabs>
                <w:tab w:val="left" w:pos="360"/>
              </w:tabs>
              <w:suppressAutoHyphens/>
              <w:spacing w:after="0" w:line="240" w:lineRule="auto"/>
              <w:jc w:val="center"/>
              <w:rPr>
                <w:rFonts w:ascii="Calibri" w:hAnsi="Calibri"/>
                <w:sz w:val="20"/>
                <w:szCs w:val="20"/>
              </w:rPr>
            </w:pPr>
            <w:r w:rsidRPr="008C645C">
              <w:rPr>
                <w:rFonts w:ascii="Calibri" w:hAnsi="Calibri"/>
                <w:sz w:val="20"/>
                <w:szCs w:val="20"/>
              </w:rPr>
              <w:t>40</w:t>
            </w:r>
          </w:p>
        </w:tc>
        <w:tc>
          <w:tcPr>
            <w:tcW w:w="851" w:type="dxa"/>
            <w:vAlign w:val="center"/>
          </w:tcPr>
          <w:p w14:paraId="779EC044" w14:textId="526E1E9C" w:rsidR="008C645C" w:rsidRPr="008C645C" w:rsidRDefault="00A25DE1" w:rsidP="008C645C">
            <w:pPr>
              <w:tabs>
                <w:tab w:val="left" w:pos="360"/>
              </w:tabs>
              <w:suppressAutoHyphens/>
              <w:spacing w:after="0" w:line="240" w:lineRule="auto"/>
              <w:jc w:val="center"/>
              <w:rPr>
                <w:rFonts w:ascii="Calibri" w:hAnsi="Calibri"/>
                <w:sz w:val="20"/>
                <w:szCs w:val="20"/>
              </w:rPr>
            </w:pPr>
            <w:r>
              <w:rPr>
                <w:rFonts w:ascii="Calibri" w:hAnsi="Calibri"/>
                <w:sz w:val="20"/>
                <w:szCs w:val="20"/>
              </w:rPr>
              <w:t>74,2</w:t>
            </w:r>
          </w:p>
        </w:tc>
        <w:tc>
          <w:tcPr>
            <w:tcW w:w="992" w:type="dxa"/>
            <w:vAlign w:val="center"/>
          </w:tcPr>
          <w:p w14:paraId="2042EA64" w14:textId="77777777" w:rsidR="008C645C" w:rsidRPr="008C645C" w:rsidRDefault="008C645C" w:rsidP="008C645C">
            <w:pPr>
              <w:tabs>
                <w:tab w:val="left" w:pos="360"/>
              </w:tabs>
              <w:suppressAutoHyphens/>
              <w:spacing w:after="0" w:line="240" w:lineRule="auto"/>
              <w:jc w:val="center"/>
              <w:rPr>
                <w:rFonts w:ascii="Calibri" w:hAnsi="Calibri"/>
                <w:sz w:val="20"/>
                <w:szCs w:val="20"/>
              </w:rPr>
            </w:pPr>
            <w:r w:rsidRPr="008C645C">
              <w:rPr>
                <w:rFonts w:ascii="Calibri" w:hAnsi="Calibri"/>
                <w:sz w:val="20"/>
                <w:szCs w:val="20"/>
              </w:rPr>
              <w:t>2,88</w:t>
            </w:r>
          </w:p>
        </w:tc>
        <w:tc>
          <w:tcPr>
            <w:tcW w:w="992" w:type="dxa"/>
            <w:vAlign w:val="center"/>
          </w:tcPr>
          <w:p w14:paraId="4226B134" w14:textId="6C4C42C3" w:rsidR="008C645C" w:rsidRPr="008C645C" w:rsidRDefault="0030136B" w:rsidP="008C645C">
            <w:pPr>
              <w:tabs>
                <w:tab w:val="left" w:pos="360"/>
              </w:tabs>
              <w:suppressAutoHyphens/>
              <w:spacing w:after="0" w:line="240" w:lineRule="auto"/>
              <w:jc w:val="center"/>
              <w:rPr>
                <w:rFonts w:ascii="Calibri" w:hAnsi="Calibri"/>
                <w:sz w:val="20"/>
                <w:szCs w:val="20"/>
              </w:rPr>
            </w:pPr>
            <w:r>
              <w:rPr>
                <w:rFonts w:ascii="Calibri" w:hAnsi="Calibri"/>
                <w:sz w:val="20"/>
                <w:szCs w:val="20"/>
              </w:rPr>
              <w:t>2,67</w:t>
            </w:r>
          </w:p>
        </w:tc>
        <w:tc>
          <w:tcPr>
            <w:tcW w:w="993" w:type="dxa"/>
            <w:vAlign w:val="center"/>
          </w:tcPr>
          <w:p w14:paraId="6168FE8A" w14:textId="6C7746F1" w:rsidR="008C645C" w:rsidRPr="008C645C" w:rsidRDefault="0030136B" w:rsidP="008C645C">
            <w:pPr>
              <w:tabs>
                <w:tab w:val="left" w:pos="360"/>
              </w:tabs>
              <w:suppressAutoHyphens/>
              <w:spacing w:after="0" w:line="240" w:lineRule="auto"/>
              <w:jc w:val="center"/>
              <w:rPr>
                <w:rFonts w:ascii="Calibri" w:hAnsi="Calibri"/>
                <w:sz w:val="20"/>
                <w:szCs w:val="20"/>
              </w:rPr>
            </w:pPr>
            <w:r>
              <w:rPr>
                <w:rFonts w:ascii="Calibri" w:hAnsi="Calibri"/>
                <w:sz w:val="20"/>
                <w:szCs w:val="20"/>
              </w:rPr>
              <w:t>80</w:t>
            </w:r>
            <w:r w:rsidR="008C645C" w:rsidRPr="008C645C">
              <w:rPr>
                <w:rFonts w:ascii="Calibri" w:hAnsi="Calibri"/>
                <w:sz w:val="20"/>
                <w:szCs w:val="20"/>
              </w:rPr>
              <w:t>,4</w:t>
            </w:r>
          </w:p>
        </w:tc>
      </w:tr>
    </w:tbl>
    <w:p w14:paraId="763F2300" w14:textId="77777777" w:rsidR="008C645C" w:rsidRPr="008C645C" w:rsidRDefault="008C645C" w:rsidP="008C645C">
      <w:pPr>
        <w:tabs>
          <w:tab w:val="left" w:pos="360"/>
        </w:tabs>
        <w:spacing w:after="0"/>
        <w:jc w:val="both"/>
        <w:rPr>
          <w:rFonts w:ascii="Calibri" w:hAnsi="Calibri"/>
          <w:sz w:val="20"/>
          <w:szCs w:val="20"/>
        </w:rPr>
      </w:pPr>
    </w:p>
    <w:p w14:paraId="6A93C189" w14:textId="77777777" w:rsidR="008C645C" w:rsidRPr="008C645C" w:rsidRDefault="008C645C" w:rsidP="008C645C">
      <w:pPr>
        <w:tabs>
          <w:tab w:val="left" w:pos="360"/>
        </w:tabs>
        <w:spacing w:after="0"/>
        <w:jc w:val="both"/>
        <w:rPr>
          <w:rFonts w:ascii="Calibri" w:hAnsi="Calibri"/>
          <w:sz w:val="20"/>
          <w:szCs w:val="20"/>
        </w:rPr>
      </w:pPr>
      <w:r w:rsidRPr="008C645C">
        <w:rPr>
          <w:rFonts w:ascii="Calibri" w:hAnsi="Calibri"/>
          <w:sz w:val="20"/>
          <w:szCs w:val="20"/>
        </w:rPr>
        <w:t>Dovolená dĺžka únikovej cesty:</w:t>
      </w:r>
    </w:p>
    <w:p w14:paraId="4174A413"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 xml:space="preserve">                             </w:t>
      </w:r>
      <w:r w:rsidRPr="008C645C">
        <w:rPr>
          <w:rFonts w:ascii="Calibri" w:hAnsi="Calibri" w:cs="Arial"/>
          <w:sz w:val="20"/>
          <w:szCs w:val="20"/>
        </w:rPr>
        <w:t>E x s</w:t>
      </w:r>
      <w:r w:rsidRPr="008C645C">
        <w:rPr>
          <w:rFonts w:ascii="Calibri" w:hAnsi="Calibri"/>
          <w:sz w:val="20"/>
          <w:szCs w:val="20"/>
          <w:vertAlign w:val="subscript"/>
        </w:rPr>
        <w:t xml:space="preserve"> </w:t>
      </w:r>
      <w:r w:rsidRPr="008C645C">
        <w:rPr>
          <w:rFonts w:ascii="Calibri" w:hAnsi="Calibri"/>
          <w:sz w:val="20"/>
          <w:szCs w:val="20"/>
        </w:rPr>
        <w:t xml:space="preserve">        </w:t>
      </w:r>
    </w:p>
    <w:p w14:paraId="32C737AF"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l</w:t>
      </w:r>
      <w:r w:rsidRPr="008C645C">
        <w:rPr>
          <w:rFonts w:ascii="Calibri" w:hAnsi="Calibri"/>
          <w:sz w:val="20"/>
          <w:szCs w:val="20"/>
          <w:vertAlign w:val="subscript"/>
        </w:rPr>
        <w:t>ud</w:t>
      </w:r>
      <w:r w:rsidRPr="008C645C">
        <w:rPr>
          <w:rFonts w:ascii="Calibri" w:hAnsi="Calibri"/>
          <w:sz w:val="20"/>
          <w:szCs w:val="20"/>
        </w:rPr>
        <w:t xml:space="preserve"> =    </w:t>
      </w:r>
      <w:r w:rsidRPr="008C645C">
        <w:rPr>
          <w:rFonts w:ascii="Calibri" w:hAnsi="Calibri" w:cs="Arial"/>
          <w:sz w:val="20"/>
          <w:szCs w:val="20"/>
        </w:rPr>
        <w:t>v</w:t>
      </w:r>
      <w:r w:rsidRPr="008C645C">
        <w:rPr>
          <w:rFonts w:ascii="Calibri" w:hAnsi="Calibri" w:cs="Arial"/>
          <w:sz w:val="20"/>
          <w:szCs w:val="20"/>
          <w:vertAlign w:val="subscript"/>
        </w:rPr>
        <w:t>u</w:t>
      </w:r>
      <w:r w:rsidRPr="008C645C">
        <w:rPr>
          <w:rFonts w:ascii="Calibri" w:hAnsi="Calibri"/>
          <w:sz w:val="20"/>
          <w:szCs w:val="20"/>
          <w:vertAlign w:val="subscript"/>
        </w:rPr>
        <w:t xml:space="preserve"> </w:t>
      </w:r>
      <w:r w:rsidRPr="008C645C">
        <w:rPr>
          <w:rFonts w:ascii="Calibri" w:hAnsi="Calibri"/>
          <w:sz w:val="20"/>
          <w:szCs w:val="20"/>
        </w:rPr>
        <w:t xml:space="preserve"> ( t</w:t>
      </w:r>
      <w:r w:rsidRPr="008C645C">
        <w:rPr>
          <w:rFonts w:ascii="Calibri" w:hAnsi="Calibri"/>
          <w:sz w:val="20"/>
          <w:szCs w:val="20"/>
          <w:vertAlign w:val="subscript"/>
        </w:rPr>
        <w:t>ud</w:t>
      </w:r>
      <w:r w:rsidRPr="008C645C">
        <w:rPr>
          <w:rFonts w:ascii="Calibri" w:hAnsi="Calibri"/>
          <w:sz w:val="20"/>
          <w:szCs w:val="20"/>
        </w:rPr>
        <w:t xml:space="preserve"> - ---------- )</w:t>
      </w:r>
    </w:p>
    <w:p w14:paraId="1FAFF2B1" w14:textId="77777777" w:rsidR="008C645C" w:rsidRPr="008C645C" w:rsidRDefault="008C645C" w:rsidP="008C645C">
      <w:pPr>
        <w:tabs>
          <w:tab w:val="left" w:pos="426"/>
        </w:tabs>
        <w:spacing w:after="0"/>
        <w:jc w:val="both"/>
        <w:rPr>
          <w:rFonts w:ascii="Calibri" w:hAnsi="Calibri"/>
          <w:sz w:val="20"/>
          <w:szCs w:val="20"/>
        </w:rPr>
      </w:pPr>
      <w:r w:rsidRPr="008C645C">
        <w:rPr>
          <w:rFonts w:ascii="Calibri" w:hAnsi="Calibri"/>
          <w:sz w:val="20"/>
          <w:szCs w:val="20"/>
        </w:rPr>
        <w:t xml:space="preserve">                            K</w:t>
      </w:r>
      <w:r w:rsidRPr="008C645C">
        <w:rPr>
          <w:rFonts w:ascii="Calibri" w:hAnsi="Calibri"/>
          <w:sz w:val="20"/>
          <w:szCs w:val="20"/>
          <w:vertAlign w:val="subscript"/>
        </w:rPr>
        <w:t xml:space="preserve">u </w:t>
      </w:r>
      <w:r w:rsidRPr="008C645C">
        <w:rPr>
          <w:rFonts w:ascii="Calibri" w:hAnsi="Calibri"/>
          <w:sz w:val="20"/>
          <w:szCs w:val="20"/>
        </w:rPr>
        <w:t>x u</w:t>
      </w:r>
    </w:p>
    <w:p w14:paraId="3BFE3A08" w14:textId="77777777" w:rsidR="008C645C" w:rsidRPr="008C645C" w:rsidRDefault="008C645C" w:rsidP="008C645C">
      <w:pPr>
        <w:tabs>
          <w:tab w:val="left" w:pos="426"/>
        </w:tabs>
        <w:spacing w:after="0"/>
        <w:jc w:val="both"/>
        <w:rPr>
          <w:rFonts w:ascii="Calibri" w:hAnsi="Calibri"/>
          <w:sz w:val="20"/>
          <w:szCs w:val="20"/>
        </w:rPr>
      </w:pPr>
    </w:p>
    <w:p w14:paraId="2305148F" w14:textId="77777777" w:rsidR="008C645C" w:rsidRPr="008C645C" w:rsidRDefault="008C645C" w:rsidP="008C645C">
      <w:pPr>
        <w:tabs>
          <w:tab w:val="left" w:pos="426"/>
        </w:tabs>
        <w:spacing w:after="0"/>
        <w:jc w:val="both"/>
        <w:rPr>
          <w:rFonts w:ascii="Calibri" w:hAnsi="Calibri" w:cs="Arial"/>
          <w:sz w:val="20"/>
          <w:szCs w:val="20"/>
        </w:rPr>
      </w:pPr>
      <w:r w:rsidRPr="008C645C">
        <w:rPr>
          <w:rFonts w:ascii="Calibri" w:hAnsi="Calibri"/>
          <w:sz w:val="20"/>
          <w:szCs w:val="20"/>
        </w:rPr>
        <w:t>l</w:t>
      </w:r>
      <w:r w:rsidRPr="008C645C">
        <w:rPr>
          <w:rFonts w:ascii="Calibri" w:hAnsi="Calibri"/>
          <w:sz w:val="20"/>
          <w:szCs w:val="20"/>
          <w:vertAlign w:val="subscript"/>
        </w:rPr>
        <w:t>ud</w:t>
      </w:r>
      <w:r w:rsidRPr="008C645C">
        <w:rPr>
          <w:rFonts w:ascii="Calibri" w:hAnsi="Calibri" w:cs="Arial"/>
          <w:sz w:val="20"/>
          <w:szCs w:val="20"/>
        </w:rPr>
        <w:t xml:space="preserve">     dovolená dĺžka únikovej cesty v metroch</w:t>
      </w:r>
    </w:p>
    <w:p w14:paraId="1CB04C3B" w14:textId="76BEBE8B" w:rsidR="008C645C" w:rsidRDefault="008C645C" w:rsidP="0030136B">
      <w:pPr>
        <w:tabs>
          <w:tab w:val="left" w:pos="360"/>
        </w:tabs>
        <w:jc w:val="both"/>
        <w:rPr>
          <w:rFonts w:ascii="Calibri" w:hAnsi="Calibri"/>
          <w:sz w:val="20"/>
          <w:szCs w:val="20"/>
        </w:rPr>
      </w:pPr>
      <w:r w:rsidRPr="008C645C">
        <w:rPr>
          <w:rFonts w:ascii="Calibri" w:hAnsi="Calibri"/>
          <w:sz w:val="20"/>
          <w:szCs w:val="20"/>
        </w:rPr>
        <w:t>u</w:t>
      </w:r>
      <w:r w:rsidRPr="008C645C">
        <w:rPr>
          <w:rFonts w:ascii="Calibri" w:hAnsi="Calibri"/>
          <w:sz w:val="20"/>
          <w:szCs w:val="20"/>
          <w:vertAlign w:val="subscript"/>
        </w:rPr>
        <w:t>min</w:t>
      </w:r>
      <w:r w:rsidRPr="008C645C">
        <w:rPr>
          <w:rFonts w:ascii="Calibri" w:hAnsi="Calibri"/>
          <w:sz w:val="20"/>
          <w:szCs w:val="20"/>
        </w:rPr>
        <w:t xml:space="preserve"> = 1,0</w:t>
      </w:r>
    </w:p>
    <w:p w14:paraId="64034FE7" w14:textId="7B7ABD6C" w:rsidR="00FE37D3" w:rsidRPr="00CD2A61" w:rsidRDefault="00FE37D3" w:rsidP="00FE37D3">
      <w:pPr>
        <w:pStyle w:val="Listaszerbekezds"/>
        <w:numPr>
          <w:ilvl w:val="1"/>
          <w:numId w:val="7"/>
        </w:numPr>
        <w:spacing w:after="0"/>
        <w:ind w:left="998" w:hanging="431"/>
        <w:jc w:val="both"/>
        <w:rPr>
          <w:rFonts w:cstheme="minorHAnsi"/>
          <w:b/>
          <w:sz w:val="20"/>
          <w:szCs w:val="20"/>
        </w:rPr>
      </w:pPr>
      <w:r w:rsidRPr="00FE37D3">
        <w:rPr>
          <w:rFonts w:cstheme="minorHAnsi"/>
          <w:b/>
          <w:sz w:val="20"/>
          <w:szCs w:val="20"/>
        </w:rPr>
        <w:t>Odstupové vzdialenosti</w:t>
      </w:r>
    </w:p>
    <w:p w14:paraId="1F08767F" w14:textId="49FE4A32" w:rsidR="00A54C63" w:rsidRDefault="00A54C63" w:rsidP="00A54C63">
      <w:pPr>
        <w:tabs>
          <w:tab w:val="left" w:pos="360"/>
        </w:tabs>
        <w:suppressAutoHyphens/>
        <w:spacing w:after="0" w:line="240" w:lineRule="auto"/>
        <w:jc w:val="both"/>
        <w:rPr>
          <w:rFonts w:ascii="Calibri" w:eastAsia="Times New Roman" w:hAnsi="Calibri" w:cs="Times New Roman"/>
          <w:sz w:val="18"/>
          <w:szCs w:val="18"/>
          <w:lang w:eastAsia="ar-SA"/>
        </w:rPr>
      </w:pPr>
    </w:p>
    <w:p w14:paraId="05B2CFB1" w14:textId="574EAEED" w:rsidR="0023490D" w:rsidRPr="002011B2" w:rsidRDefault="0023490D" w:rsidP="0023490D">
      <w:pPr>
        <w:spacing w:after="0"/>
        <w:ind w:firstLine="284"/>
        <w:jc w:val="both"/>
        <w:rPr>
          <w:rFonts w:cstheme="minorHAnsi"/>
          <w:sz w:val="20"/>
          <w:szCs w:val="20"/>
        </w:rPr>
      </w:pPr>
      <w:r w:rsidRPr="002011B2">
        <w:rPr>
          <w:rFonts w:cstheme="minorHAnsi"/>
          <w:sz w:val="20"/>
          <w:szCs w:val="20"/>
        </w:rPr>
        <w:t>Vzhľadom na to, že podľa STN 92 0201-2, tab. 6. posudzované konštrukcie nevyhovujú požadovaným kritériám požiarnej odolnosti, konštrukcia je úplne požiarne otvorenou plochou.</w:t>
      </w:r>
      <w:r>
        <w:rPr>
          <w:rFonts w:cstheme="minorHAnsi"/>
          <w:sz w:val="20"/>
          <w:szCs w:val="20"/>
        </w:rPr>
        <w:t xml:space="preserve"> Podľa </w:t>
      </w:r>
      <w:r w:rsidRPr="008C645C">
        <w:rPr>
          <w:rFonts w:cstheme="minorHAnsi"/>
          <w:sz w:val="20"/>
          <w:szCs w:val="20"/>
        </w:rPr>
        <w:t>§</w:t>
      </w:r>
      <w:r>
        <w:rPr>
          <w:rFonts w:cstheme="minorHAnsi"/>
          <w:sz w:val="20"/>
          <w:szCs w:val="20"/>
        </w:rPr>
        <w:t>26</w:t>
      </w:r>
      <w:r w:rsidRPr="008C645C">
        <w:rPr>
          <w:rFonts w:cstheme="minorHAnsi"/>
          <w:sz w:val="20"/>
          <w:szCs w:val="20"/>
        </w:rPr>
        <w:t xml:space="preserve"> ods. </w:t>
      </w:r>
      <w:r>
        <w:rPr>
          <w:rFonts w:cstheme="minorHAnsi"/>
          <w:sz w:val="20"/>
          <w:szCs w:val="20"/>
        </w:rPr>
        <w:t>1</w:t>
      </w:r>
      <w:r w:rsidRPr="008C645C">
        <w:rPr>
          <w:rFonts w:cstheme="minorHAnsi"/>
          <w:sz w:val="20"/>
          <w:szCs w:val="20"/>
        </w:rPr>
        <w:t xml:space="preserve"> vyhl. č. 94/2004 Z.z. </w:t>
      </w:r>
      <w:r>
        <w:rPr>
          <w:rFonts w:cstheme="minorHAnsi"/>
          <w:sz w:val="20"/>
          <w:szCs w:val="20"/>
        </w:rPr>
        <w:t>→</w:t>
      </w:r>
      <w:r w:rsidRPr="00216E32">
        <w:rPr>
          <w:rFonts w:cstheme="minorHAnsi"/>
          <w:sz w:val="20"/>
          <w:szCs w:val="20"/>
        </w:rPr>
        <w:t xml:space="preserve"> </w:t>
      </w:r>
      <w:r>
        <w:rPr>
          <w:rFonts w:cstheme="minorHAnsi"/>
          <w:sz w:val="20"/>
          <w:szCs w:val="20"/>
        </w:rPr>
        <w:t>pv</w:t>
      </w:r>
      <w:r>
        <w:rPr>
          <w:rFonts w:cstheme="minorHAnsi"/>
          <w:sz w:val="20"/>
          <w:szCs w:val="20"/>
        </w:rPr>
        <w:t>=6,46, PÚ je</w:t>
      </w:r>
      <w:r>
        <w:rPr>
          <w:rFonts w:cstheme="minorHAnsi"/>
          <w:sz w:val="20"/>
          <w:szCs w:val="20"/>
        </w:rPr>
        <w:t xml:space="preserve"> bez požiarneho rizika, a podľa 2.6.4.a) odstupové vzdialenosti sa neurčujú pre objekt.</w:t>
      </w:r>
    </w:p>
    <w:p w14:paraId="3B713163" w14:textId="008078E9" w:rsidR="0023490D" w:rsidRDefault="0023490D" w:rsidP="00A54C63">
      <w:pPr>
        <w:tabs>
          <w:tab w:val="left" w:pos="360"/>
        </w:tabs>
        <w:suppressAutoHyphens/>
        <w:spacing w:after="0" w:line="240" w:lineRule="auto"/>
        <w:jc w:val="both"/>
        <w:rPr>
          <w:rFonts w:ascii="Calibri" w:eastAsia="Times New Roman" w:hAnsi="Calibri" w:cs="Times New Roman"/>
          <w:sz w:val="18"/>
          <w:szCs w:val="18"/>
          <w:lang w:eastAsia="ar-SA"/>
        </w:rPr>
      </w:pPr>
    </w:p>
    <w:p w14:paraId="5BAB433B" w14:textId="77777777" w:rsidR="0023490D" w:rsidRPr="00A54C63" w:rsidRDefault="0023490D" w:rsidP="00A54C63">
      <w:pPr>
        <w:tabs>
          <w:tab w:val="left" w:pos="360"/>
        </w:tabs>
        <w:suppressAutoHyphens/>
        <w:spacing w:after="0" w:line="240" w:lineRule="auto"/>
        <w:jc w:val="both"/>
        <w:rPr>
          <w:rFonts w:ascii="Calibri" w:eastAsia="Times New Roman" w:hAnsi="Calibri" w:cs="Times New Roman"/>
          <w:sz w:val="18"/>
          <w:szCs w:val="18"/>
          <w:lang w:eastAsia="ar-SA"/>
        </w:rPr>
      </w:pPr>
    </w:p>
    <w:p w14:paraId="3269275C" w14:textId="77777777" w:rsidR="008C645C" w:rsidRPr="008C645C" w:rsidRDefault="008C645C" w:rsidP="00FE37D3">
      <w:pPr>
        <w:numPr>
          <w:ilvl w:val="0"/>
          <w:numId w:val="7"/>
        </w:numPr>
        <w:spacing w:after="0"/>
        <w:ind w:left="567" w:hanging="567"/>
        <w:contextualSpacing/>
        <w:rPr>
          <w:rFonts w:ascii="Tw Cen MT Condensed" w:hAnsi="Tw Cen MT Condensed" w:cs="Times New Roman"/>
          <w:b/>
          <w:highlight w:val="lightGray"/>
        </w:rPr>
      </w:pPr>
      <w:r w:rsidRPr="008C645C">
        <w:rPr>
          <w:rFonts w:ascii="Tw Cen MT Condensed" w:hAnsi="Tw Cen MT Condensed" w:cs="Times New Roman"/>
          <w:b/>
          <w:highlight w:val="lightGray"/>
        </w:rPr>
        <w:t>Zásahy</w:t>
      </w:r>
    </w:p>
    <w:p w14:paraId="0717C98B" w14:textId="77777777" w:rsidR="008C645C" w:rsidRPr="008C645C" w:rsidRDefault="008C645C" w:rsidP="008C645C">
      <w:pPr>
        <w:spacing w:after="0"/>
        <w:ind w:left="567"/>
        <w:contextualSpacing/>
        <w:rPr>
          <w:rFonts w:ascii="Times New Roman" w:hAnsi="Times New Roman" w:cs="Times New Roman"/>
          <w:b/>
        </w:rPr>
      </w:pPr>
    </w:p>
    <w:p w14:paraId="369B9A29" w14:textId="77777777" w:rsidR="008C645C" w:rsidRPr="008C645C" w:rsidRDefault="008C645C" w:rsidP="00FE37D3">
      <w:pPr>
        <w:numPr>
          <w:ilvl w:val="1"/>
          <w:numId w:val="7"/>
        </w:numPr>
        <w:spacing w:after="0"/>
        <w:ind w:left="1134" w:hanging="567"/>
        <w:contextualSpacing/>
        <w:rPr>
          <w:rFonts w:ascii="Tw Cen MT Condensed" w:hAnsi="Tw Cen MT Condensed" w:cstheme="minorHAnsi"/>
          <w:b/>
        </w:rPr>
      </w:pPr>
      <w:r w:rsidRPr="008C645C">
        <w:rPr>
          <w:rFonts w:ascii="Tw Cen MT Condensed" w:hAnsi="Tw Cen MT Condensed" w:cstheme="minorHAnsi"/>
          <w:b/>
        </w:rPr>
        <w:t>Prístupové komunikácie</w:t>
      </w:r>
    </w:p>
    <w:p w14:paraId="0A75E75F" w14:textId="77777777" w:rsidR="008C645C" w:rsidRPr="008C645C" w:rsidRDefault="008C645C" w:rsidP="008C645C">
      <w:pPr>
        <w:ind w:left="360"/>
        <w:contextualSpacing/>
        <w:rPr>
          <w:rFonts w:ascii="Times New Roman" w:eastAsia="MS Mincho" w:hAnsi="Times New Roman" w:cs="Times New Roman"/>
          <w:sz w:val="18"/>
        </w:rPr>
      </w:pPr>
    </w:p>
    <w:p w14:paraId="6839DE22"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 xml:space="preserve">Prístupová komunikácia musí mať trvale voľnú šírku najmenej </w:t>
      </w:r>
      <w:smartTag w:uri="urn:schemas-microsoft-com:office:smarttags" w:element="metricconverter">
        <w:smartTagPr>
          <w:attr w:name="ProductID" w:val="3 m"/>
        </w:smartTagPr>
        <w:r w:rsidRPr="008C645C">
          <w:rPr>
            <w:rFonts w:cstheme="minorHAnsi"/>
            <w:sz w:val="20"/>
            <w:szCs w:val="20"/>
          </w:rPr>
          <w:t>3 m</w:t>
        </w:r>
      </w:smartTag>
      <w:r w:rsidRPr="008C645C">
        <w:rPr>
          <w:rFonts w:cstheme="minorHAnsi"/>
          <w:sz w:val="20"/>
          <w:szCs w:val="20"/>
        </w:rPr>
        <w:t xml:space="preserve"> a jej únosnosť na zaťaženie jednou nápravou vozidla musí byť najmenej 80 kN, do trvale voľnej šírky sa nezapočítava parkovací pruh. Vjazd na prístupovú komunikáciu a prejazd na nej musí mať šírku najmenej </w:t>
      </w:r>
      <w:smartTag w:uri="urn:schemas-microsoft-com:office:smarttags" w:element="metricconverter">
        <w:smartTagPr>
          <w:attr w:name="ProductID" w:val="3,5 m"/>
        </w:smartTagPr>
        <w:r w:rsidRPr="008C645C">
          <w:rPr>
            <w:rFonts w:cstheme="minorHAnsi"/>
            <w:sz w:val="20"/>
            <w:szCs w:val="20"/>
          </w:rPr>
          <w:t>3,5 m</w:t>
        </w:r>
      </w:smartTag>
      <w:r w:rsidRPr="008C645C">
        <w:rPr>
          <w:rFonts w:cstheme="minorHAnsi"/>
          <w:sz w:val="20"/>
          <w:szCs w:val="20"/>
        </w:rPr>
        <w:t xml:space="preserve"> a výšku najmenej 4,5 m.</w:t>
      </w:r>
    </w:p>
    <w:p w14:paraId="0F0BA827"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K bezprostrednej blízkosti stavby je spevnená cestná verejná komunikácia, ktorá bude uvažovaná, ako prístupová komunikácia, a spĺňa požiadavky na príjazdovú komunikáciu v zmysle §82 vyhlášky. Prístup na stavenisko bude zabezpečené z verejnej komunikácie.</w:t>
      </w:r>
    </w:p>
    <w:p w14:paraId="4D3EA5ED" w14:textId="77777777" w:rsidR="008C645C" w:rsidRPr="008C645C" w:rsidRDefault="008C645C" w:rsidP="008C645C">
      <w:pPr>
        <w:spacing w:after="0"/>
        <w:ind w:left="851" w:firstLine="283"/>
        <w:contextualSpacing/>
        <w:jc w:val="both"/>
        <w:rPr>
          <w:rFonts w:ascii="Times New Roman" w:hAnsi="Times New Roman" w:cs="Times New Roman"/>
          <w:color w:val="FF0000"/>
          <w:sz w:val="18"/>
          <w:szCs w:val="20"/>
        </w:rPr>
      </w:pPr>
    </w:p>
    <w:p w14:paraId="7770530E" w14:textId="77777777" w:rsidR="008C645C" w:rsidRPr="008C645C" w:rsidRDefault="008C645C" w:rsidP="00FE37D3">
      <w:pPr>
        <w:numPr>
          <w:ilvl w:val="1"/>
          <w:numId w:val="7"/>
        </w:numPr>
        <w:spacing w:after="0"/>
        <w:ind w:left="1134" w:hanging="567"/>
        <w:contextualSpacing/>
        <w:rPr>
          <w:rFonts w:ascii="Tw Cen MT Condensed" w:hAnsi="Tw Cen MT Condensed" w:cs="Times New Roman"/>
          <w:b/>
        </w:rPr>
      </w:pPr>
      <w:r w:rsidRPr="008C645C">
        <w:rPr>
          <w:rFonts w:ascii="Tw Cen MT Condensed" w:hAnsi="Tw Cen MT Condensed" w:cs="Times New Roman"/>
          <w:b/>
        </w:rPr>
        <w:t>Nástupná plocha</w:t>
      </w:r>
    </w:p>
    <w:p w14:paraId="2B2F37BF" w14:textId="77777777" w:rsidR="008C645C" w:rsidRPr="008C645C" w:rsidRDefault="008C645C" w:rsidP="008C645C">
      <w:pPr>
        <w:ind w:left="720"/>
        <w:contextualSpacing/>
        <w:rPr>
          <w:rFonts w:ascii="Times New Roman" w:hAnsi="Times New Roman" w:cs="Times New Roman"/>
          <w:b/>
          <w:sz w:val="18"/>
        </w:rPr>
      </w:pPr>
    </w:p>
    <w:p w14:paraId="4D7A775F"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V súlade s §83 ods. 1 vyhlášky nemusí byť pre stavebný objekt vybudovaná nástupná plocha.</w:t>
      </w:r>
    </w:p>
    <w:p w14:paraId="6E42614F" w14:textId="77777777" w:rsidR="008C645C" w:rsidRPr="008C645C" w:rsidRDefault="008C645C" w:rsidP="008C645C">
      <w:pPr>
        <w:spacing w:after="0"/>
        <w:ind w:left="851" w:firstLine="283"/>
        <w:contextualSpacing/>
        <w:jc w:val="both"/>
        <w:rPr>
          <w:rFonts w:ascii="Times New Roman" w:hAnsi="Times New Roman" w:cs="Times New Roman"/>
          <w:sz w:val="20"/>
          <w:szCs w:val="20"/>
        </w:rPr>
      </w:pPr>
    </w:p>
    <w:p w14:paraId="039BFFD3" w14:textId="77777777" w:rsidR="008C645C" w:rsidRPr="008C645C" w:rsidRDefault="008C645C" w:rsidP="00FE37D3">
      <w:pPr>
        <w:numPr>
          <w:ilvl w:val="1"/>
          <w:numId w:val="7"/>
        </w:numPr>
        <w:spacing w:after="0"/>
        <w:ind w:left="1134" w:hanging="567"/>
        <w:contextualSpacing/>
        <w:rPr>
          <w:rFonts w:ascii="Tw Cen MT Condensed" w:hAnsi="Tw Cen MT Condensed" w:cs="Times New Roman"/>
          <w:b/>
        </w:rPr>
      </w:pPr>
      <w:r w:rsidRPr="008C645C">
        <w:rPr>
          <w:rFonts w:ascii="Tw Cen MT Condensed" w:hAnsi="Tw Cen MT Condensed" w:cs="Times New Roman"/>
          <w:b/>
        </w:rPr>
        <w:t>Zásahové cesty</w:t>
      </w:r>
    </w:p>
    <w:p w14:paraId="12B1F954" w14:textId="77777777" w:rsidR="008C645C" w:rsidRPr="008C645C" w:rsidRDefault="008C645C" w:rsidP="008C645C">
      <w:pPr>
        <w:spacing w:after="0"/>
        <w:ind w:left="1134"/>
        <w:contextualSpacing/>
        <w:rPr>
          <w:rFonts w:ascii="Times New Roman" w:hAnsi="Times New Roman" w:cs="Times New Roman"/>
          <w:b/>
          <w:color w:val="FF0000"/>
          <w:sz w:val="24"/>
        </w:rPr>
      </w:pPr>
    </w:p>
    <w:p w14:paraId="50B6BD6B"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Podľa §84 odsek 1) vyhlášky MV SR č. 94/2004 Z.z. vnútorná zásahová cesta musí byť vybudovaná v stavbe, ktorá má požiarnu výšku nadzemnej časti menej ako 22,5 m a hĺbku viac ako 30 m, ak možno viesť zásah len z jednej strany stavby. Vzhľadom na to, že stavba má hĺbku ≈ 30 m,  v stavbách sa nemusí vybudovať vnútorná zásahová cesta.</w:t>
      </w:r>
    </w:p>
    <w:p w14:paraId="0D8D8AAA"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Podľa §86 odsek 3) vyhlášky MV SR č. 94/2004 Z.z. stavby v ktorých nie je prístup na strechu stavby z vnútorného priestoru a v ktorých konštrukcia strešného plášťa má požiarnu odolnosť aspoň 15 min a pôdorysná plocha je väčšia ako 200 m</w:t>
      </w:r>
      <w:r w:rsidRPr="008C645C">
        <w:rPr>
          <w:rFonts w:cstheme="minorHAnsi"/>
          <w:sz w:val="20"/>
          <w:szCs w:val="20"/>
          <w:vertAlign w:val="superscript"/>
        </w:rPr>
        <w:t>2</w:t>
      </w:r>
      <w:r w:rsidRPr="008C645C">
        <w:rPr>
          <w:rFonts w:cstheme="minorHAnsi"/>
          <w:sz w:val="20"/>
          <w:szCs w:val="20"/>
        </w:rPr>
        <w:t xml:space="preserve"> musia byť vybavené požiarnymi rebríkmi po obvode stavby o vzájomnej vzdialenosti najviac 200 m. Strešná krytina nevykazuje protipožiarnu odolnosť 15 min, pre stavbu sa nemusí vybudovať vonkajšia zásahová cesta.</w:t>
      </w:r>
    </w:p>
    <w:p w14:paraId="0A0D589A" w14:textId="77777777" w:rsidR="008C645C" w:rsidRPr="008C645C" w:rsidRDefault="008C645C" w:rsidP="008C645C">
      <w:pPr>
        <w:spacing w:after="0"/>
        <w:ind w:left="851" w:firstLine="283"/>
        <w:contextualSpacing/>
        <w:rPr>
          <w:rFonts w:ascii="Times New Roman" w:hAnsi="Times New Roman" w:cs="Times New Roman"/>
        </w:rPr>
      </w:pPr>
    </w:p>
    <w:p w14:paraId="3D0CD24E" w14:textId="77777777" w:rsidR="008C645C" w:rsidRPr="008C645C" w:rsidRDefault="008C645C" w:rsidP="00FE37D3">
      <w:pPr>
        <w:numPr>
          <w:ilvl w:val="1"/>
          <w:numId w:val="7"/>
        </w:numPr>
        <w:spacing w:after="0"/>
        <w:ind w:left="1134" w:hanging="567"/>
        <w:contextualSpacing/>
        <w:rPr>
          <w:rFonts w:ascii="Tw Cen MT Condensed" w:hAnsi="Tw Cen MT Condensed" w:cs="Times New Roman"/>
          <w:b/>
        </w:rPr>
      </w:pPr>
      <w:r w:rsidRPr="008C645C">
        <w:rPr>
          <w:rFonts w:ascii="Tw Cen MT Condensed" w:hAnsi="Tw Cen MT Condensed" w:cs="Times New Roman"/>
          <w:b/>
        </w:rPr>
        <w:t>SHZ, EPS, ZOTSH</w:t>
      </w:r>
    </w:p>
    <w:p w14:paraId="2FECC351" w14:textId="77777777" w:rsidR="008C645C" w:rsidRPr="008C645C" w:rsidRDefault="008C645C" w:rsidP="008C645C">
      <w:pPr>
        <w:spacing w:after="0"/>
        <w:ind w:left="851" w:firstLine="283"/>
        <w:contextualSpacing/>
        <w:jc w:val="both"/>
        <w:rPr>
          <w:rFonts w:ascii="Times New Roman" w:hAnsi="Times New Roman" w:cs="Times New Roman"/>
          <w:sz w:val="20"/>
          <w:szCs w:val="18"/>
        </w:rPr>
      </w:pPr>
    </w:p>
    <w:p w14:paraId="290DD11F" w14:textId="77777777" w:rsidR="008C645C" w:rsidRPr="008C645C" w:rsidRDefault="008C645C" w:rsidP="008C645C">
      <w:pPr>
        <w:spacing w:after="0"/>
        <w:ind w:firstLine="284"/>
        <w:contextualSpacing/>
        <w:jc w:val="both"/>
        <w:rPr>
          <w:rFonts w:ascii="Times New Roman" w:hAnsi="Times New Roman" w:cs="Times New Roman"/>
          <w:sz w:val="20"/>
          <w:szCs w:val="20"/>
        </w:rPr>
      </w:pPr>
      <w:r w:rsidRPr="008C645C">
        <w:rPr>
          <w:rFonts w:cstheme="minorHAnsi"/>
          <w:sz w:val="20"/>
          <w:szCs w:val="20"/>
        </w:rPr>
        <w:t>Inštalácia požiarnotechnického zariadenia podľa §87 a §88 vyhlášky nie je nutná</w:t>
      </w:r>
      <w:r w:rsidRPr="008C645C">
        <w:rPr>
          <w:rFonts w:ascii="Times New Roman" w:hAnsi="Times New Roman" w:cs="Times New Roman"/>
          <w:sz w:val="20"/>
          <w:szCs w:val="20"/>
        </w:rPr>
        <w:t>.</w:t>
      </w:r>
    </w:p>
    <w:p w14:paraId="121C4BCF" w14:textId="77777777" w:rsidR="008C645C" w:rsidRPr="008C645C" w:rsidRDefault="008C645C" w:rsidP="008C645C">
      <w:pPr>
        <w:spacing w:after="0"/>
        <w:ind w:left="1134"/>
        <w:contextualSpacing/>
        <w:rPr>
          <w:rFonts w:ascii="Times New Roman" w:hAnsi="Times New Roman" w:cs="Times New Roman"/>
          <w:b/>
          <w:sz w:val="18"/>
        </w:rPr>
      </w:pPr>
    </w:p>
    <w:p w14:paraId="62950ADB" w14:textId="77777777" w:rsidR="008C645C" w:rsidRPr="008C645C" w:rsidRDefault="008C645C" w:rsidP="00FE37D3">
      <w:pPr>
        <w:numPr>
          <w:ilvl w:val="1"/>
          <w:numId w:val="7"/>
        </w:numPr>
        <w:spacing w:after="0"/>
        <w:ind w:left="1134" w:hanging="567"/>
        <w:contextualSpacing/>
        <w:rPr>
          <w:rFonts w:ascii="Tw Cen MT Condensed" w:hAnsi="Tw Cen MT Condensed" w:cs="Times New Roman"/>
          <w:b/>
        </w:rPr>
      </w:pPr>
      <w:r w:rsidRPr="008C645C">
        <w:rPr>
          <w:rFonts w:ascii="Tw Cen MT Condensed" w:hAnsi="Tw Cen MT Condensed" w:cs="Times New Roman"/>
          <w:b/>
        </w:rPr>
        <w:t>Zásobovanie objektu požiarnou vodou</w:t>
      </w:r>
    </w:p>
    <w:p w14:paraId="0ACE586A" w14:textId="77777777" w:rsidR="008C645C" w:rsidRPr="008C645C" w:rsidRDefault="008C645C" w:rsidP="008C645C">
      <w:pPr>
        <w:spacing w:after="0"/>
        <w:ind w:left="1134"/>
        <w:contextualSpacing/>
        <w:rPr>
          <w:rFonts w:ascii="Times New Roman" w:hAnsi="Times New Roman" w:cs="Times New Roman"/>
          <w:b/>
          <w:sz w:val="18"/>
        </w:rPr>
      </w:pPr>
    </w:p>
    <w:p w14:paraId="2922A0B8" w14:textId="77777777" w:rsidR="008C645C" w:rsidRPr="008C645C" w:rsidRDefault="008C645C" w:rsidP="008C645C">
      <w:pPr>
        <w:spacing w:after="0"/>
        <w:ind w:firstLine="284"/>
        <w:contextualSpacing/>
        <w:jc w:val="both"/>
        <w:rPr>
          <w:rFonts w:ascii="Times New Roman" w:hAnsi="Times New Roman" w:cs="Times New Roman"/>
          <w:sz w:val="16"/>
          <w:szCs w:val="16"/>
        </w:rPr>
      </w:pPr>
      <w:r w:rsidRPr="008C645C">
        <w:rPr>
          <w:rFonts w:cstheme="minorHAnsi"/>
          <w:sz w:val="20"/>
          <w:szCs w:val="20"/>
        </w:rPr>
        <w:t xml:space="preserve">Pre PÚ sa potreba vody neurčuje v zmysle §10 ods. vyhlášky č. 699/2004 Z.z. </w:t>
      </w:r>
    </w:p>
    <w:p w14:paraId="307C6DE3" w14:textId="0099A2A0" w:rsidR="008C645C" w:rsidRDefault="008C645C" w:rsidP="008C645C">
      <w:pPr>
        <w:spacing w:after="0"/>
        <w:ind w:left="851" w:firstLine="283"/>
        <w:contextualSpacing/>
        <w:jc w:val="both"/>
        <w:rPr>
          <w:rFonts w:ascii="Times New Roman" w:hAnsi="Times New Roman" w:cs="Times New Roman"/>
          <w:sz w:val="20"/>
          <w:szCs w:val="20"/>
        </w:rPr>
      </w:pPr>
    </w:p>
    <w:p w14:paraId="21009684" w14:textId="77777777" w:rsidR="0023490D" w:rsidRPr="008C645C" w:rsidRDefault="0023490D" w:rsidP="008C645C">
      <w:pPr>
        <w:spacing w:after="0"/>
        <w:ind w:left="851" w:firstLine="283"/>
        <w:contextualSpacing/>
        <w:jc w:val="both"/>
        <w:rPr>
          <w:rFonts w:ascii="Times New Roman" w:hAnsi="Times New Roman" w:cs="Times New Roman"/>
          <w:sz w:val="20"/>
          <w:szCs w:val="20"/>
        </w:rPr>
      </w:pPr>
    </w:p>
    <w:p w14:paraId="30907C66" w14:textId="77777777" w:rsidR="008C645C" w:rsidRPr="008C645C" w:rsidRDefault="008C645C" w:rsidP="00FE37D3">
      <w:pPr>
        <w:numPr>
          <w:ilvl w:val="1"/>
          <w:numId w:val="7"/>
        </w:numPr>
        <w:spacing w:after="0"/>
        <w:ind w:left="1134" w:hanging="567"/>
        <w:contextualSpacing/>
        <w:jc w:val="both"/>
        <w:rPr>
          <w:rFonts w:ascii="Tw Cen MT Condensed" w:hAnsi="Tw Cen MT Condensed" w:cs="Times New Roman"/>
          <w:b/>
        </w:rPr>
      </w:pPr>
      <w:r w:rsidRPr="008C645C">
        <w:rPr>
          <w:rFonts w:ascii="Tw Cen MT Condensed" w:hAnsi="Tw Cen MT Condensed" w:cs="Times New Roman"/>
          <w:b/>
        </w:rPr>
        <w:lastRenderedPageBreak/>
        <w:t>Vybavenie objektu hasiacimi prístrojmi</w:t>
      </w:r>
    </w:p>
    <w:p w14:paraId="32013437" w14:textId="77777777" w:rsidR="008C645C" w:rsidRPr="008C645C" w:rsidRDefault="008C645C" w:rsidP="008C645C">
      <w:pPr>
        <w:spacing w:after="0"/>
        <w:ind w:left="1134"/>
        <w:contextualSpacing/>
        <w:jc w:val="both"/>
        <w:rPr>
          <w:rFonts w:ascii="Times New Roman" w:hAnsi="Times New Roman" w:cs="Times New Roman"/>
          <w:b/>
          <w:color w:val="FF0000"/>
          <w:sz w:val="18"/>
        </w:rPr>
      </w:pPr>
    </w:p>
    <w:p w14:paraId="08DE190F" w14:textId="77777777" w:rsidR="00B86B20" w:rsidRPr="00CD2A61" w:rsidRDefault="00B86B20" w:rsidP="00B86B20">
      <w:pPr>
        <w:spacing w:after="0" w:line="240" w:lineRule="auto"/>
        <w:ind w:firstLine="567"/>
        <w:jc w:val="both"/>
        <w:rPr>
          <w:rFonts w:cstheme="minorHAnsi"/>
          <w:sz w:val="20"/>
          <w:szCs w:val="20"/>
        </w:rPr>
      </w:pPr>
      <w:r w:rsidRPr="00CD2A61">
        <w:rPr>
          <w:rFonts w:cstheme="minorHAnsi"/>
          <w:sz w:val="20"/>
          <w:szCs w:val="20"/>
        </w:rPr>
        <w:t xml:space="preserve">PÚ bude vybavené prenosnými hasiacimi prístrojmi. HP bude označený návodom na použitie a stanovište piktogramom podľa NV č. 387/2006 Z. z. a STN 92 0202. Navrhujú sa do stavby podľa STN 92 0202-1 v nadväznosti na §89 vyhlášky. </w:t>
      </w:r>
    </w:p>
    <w:p w14:paraId="2631AC3A" w14:textId="77777777" w:rsidR="00B86B20" w:rsidRDefault="00B86B20" w:rsidP="00B86B20">
      <w:pPr>
        <w:spacing w:after="0"/>
        <w:rPr>
          <w:sz w:val="20"/>
          <w:szCs w:val="20"/>
        </w:rPr>
      </w:pPr>
    </w:p>
    <w:p w14:paraId="3C416DB4" w14:textId="6ED2C08C" w:rsidR="00B86B20" w:rsidRPr="0030136B" w:rsidRDefault="00B86B20" w:rsidP="00B86B20">
      <w:pPr>
        <w:spacing w:after="0"/>
        <w:rPr>
          <w:sz w:val="20"/>
          <w:szCs w:val="20"/>
        </w:rPr>
      </w:pPr>
      <w:r w:rsidRPr="0030136B">
        <w:rPr>
          <w:sz w:val="20"/>
          <w:szCs w:val="20"/>
        </w:rPr>
        <w:t>Mc = 1,2 . (S . p</w:t>
      </w:r>
      <w:r w:rsidRPr="0030136B">
        <w:rPr>
          <w:sz w:val="20"/>
          <w:szCs w:val="20"/>
          <w:vertAlign w:val="subscript"/>
        </w:rPr>
        <w:t>1</w:t>
      </w:r>
      <w:r w:rsidRPr="0030136B">
        <w:rPr>
          <w:sz w:val="20"/>
          <w:szCs w:val="20"/>
        </w:rPr>
        <w:t>)</w:t>
      </w:r>
      <w:r w:rsidRPr="0030136B">
        <w:rPr>
          <w:sz w:val="20"/>
          <w:szCs w:val="20"/>
          <w:vertAlign w:val="superscript"/>
        </w:rPr>
        <w:t>1/2</w:t>
      </w:r>
      <w:r w:rsidRPr="0030136B">
        <w:rPr>
          <w:sz w:val="20"/>
          <w:szCs w:val="20"/>
        </w:rPr>
        <w:t xml:space="preserve"> ≥ 6</w:t>
      </w:r>
    </w:p>
    <w:p w14:paraId="351A61E4" w14:textId="029901CF" w:rsidR="00B86B20" w:rsidRPr="0030136B" w:rsidRDefault="00B86B20" w:rsidP="00B86B20">
      <w:pPr>
        <w:spacing w:after="0"/>
        <w:rPr>
          <w:sz w:val="20"/>
          <w:szCs w:val="20"/>
        </w:rPr>
      </w:pPr>
      <w:r w:rsidRPr="0030136B">
        <w:rPr>
          <w:sz w:val="20"/>
          <w:szCs w:val="20"/>
        </w:rPr>
        <w:t>Mc = 1,2 . (</w:t>
      </w:r>
      <w:r>
        <w:rPr>
          <w:sz w:val="20"/>
          <w:szCs w:val="20"/>
        </w:rPr>
        <w:t>136</w:t>
      </w:r>
      <w:r w:rsidR="00B44BFA">
        <w:rPr>
          <w:sz w:val="20"/>
          <w:szCs w:val="20"/>
        </w:rPr>
        <w:t>7</w:t>
      </w:r>
      <w:r>
        <w:rPr>
          <w:sz w:val="20"/>
          <w:szCs w:val="20"/>
        </w:rPr>
        <w:t>,0</w:t>
      </w:r>
      <w:r w:rsidRPr="0030136B">
        <w:rPr>
          <w:sz w:val="20"/>
          <w:szCs w:val="20"/>
        </w:rPr>
        <w:t xml:space="preserve"> . 0.7)</w:t>
      </w:r>
      <w:r w:rsidRPr="0030136B">
        <w:rPr>
          <w:sz w:val="20"/>
          <w:szCs w:val="20"/>
          <w:vertAlign w:val="superscript"/>
        </w:rPr>
        <w:t>1/2</w:t>
      </w:r>
      <w:r w:rsidRPr="0030136B">
        <w:rPr>
          <w:sz w:val="20"/>
          <w:szCs w:val="20"/>
        </w:rPr>
        <w:t xml:space="preserve"> = 3</w:t>
      </w:r>
      <w:r>
        <w:rPr>
          <w:sz w:val="20"/>
          <w:szCs w:val="20"/>
        </w:rPr>
        <w:t>7,03</w:t>
      </w:r>
      <w:r w:rsidRPr="0030136B">
        <w:rPr>
          <w:sz w:val="20"/>
          <w:szCs w:val="20"/>
        </w:rPr>
        <w:t xml:space="preserve"> kg</w:t>
      </w:r>
    </w:p>
    <w:p w14:paraId="502A36F4" w14:textId="77777777" w:rsidR="00B86B20" w:rsidRPr="000E294E" w:rsidRDefault="00B86B20" w:rsidP="00B86B20">
      <w:pPr>
        <w:spacing w:after="0"/>
        <w:ind w:firstLine="284"/>
        <w:jc w:val="both"/>
        <w:rPr>
          <w:rFonts w:cstheme="minorHAnsi"/>
          <w:sz w:val="20"/>
          <w:szCs w:val="20"/>
        </w:rPr>
      </w:pPr>
      <w:r w:rsidRPr="000E294E">
        <w:rPr>
          <w:rFonts w:cstheme="minorHAnsi"/>
          <w:sz w:val="20"/>
          <w:szCs w:val="20"/>
        </w:rPr>
        <w:t xml:space="preserve">        j</w:t>
      </w:r>
    </w:p>
    <w:p w14:paraId="7E8B0148" w14:textId="77777777" w:rsidR="00B86B20" w:rsidRPr="000E294E" w:rsidRDefault="00B86B20" w:rsidP="00B86B20">
      <w:pPr>
        <w:spacing w:after="0"/>
        <w:jc w:val="both"/>
        <w:rPr>
          <w:rFonts w:cstheme="minorHAnsi"/>
          <w:sz w:val="20"/>
          <w:szCs w:val="20"/>
        </w:rPr>
      </w:pPr>
      <w:r w:rsidRPr="000E294E">
        <w:rPr>
          <w:rFonts w:cstheme="minorHAnsi"/>
          <w:sz w:val="20"/>
          <w:szCs w:val="20"/>
        </w:rPr>
        <w:t>M</w:t>
      </w:r>
      <w:r w:rsidRPr="000E294E">
        <w:rPr>
          <w:rFonts w:cstheme="minorHAnsi"/>
          <w:sz w:val="20"/>
          <w:szCs w:val="20"/>
          <w:vertAlign w:val="subscript"/>
        </w:rPr>
        <w:t>C,sk.</w:t>
      </w:r>
      <w:r w:rsidRPr="000E294E">
        <w:rPr>
          <w:rFonts w:cstheme="minorHAnsi"/>
          <w:sz w:val="20"/>
          <w:szCs w:val="20"/>
        </w:rPr>
        <w:t xml:space="preserve"> ≤ ∑  n</w:t>
      </w:r>
      <w:r w:rsidRPr="000E294E">
        <w:rPr>
          <w:rFonts w:cstheme="minorHAnsi"/>
          <w:sz w:val="20"/>
          <w:szCs w:val="20"/>
          <w:vertAlign w:val="subscript"/>
        </w:rPr>
        <w:t xml:space="preserve">i </w:t>
      </w:r>
      <w:r w:rsidRPr="000E294E">
        <w:rPr>
          <w:rFonts w:cstheme="minorHAnsi"/>
          <w:sz w:val="20"/>
          <w:szCs w:val="20"/>
        </w:rPr>
        <w:t>x</w:t>
      </w:r>
      <w:r w:rsidRPr="000E294E">
        <w:rPr>
          <w:rFonts w:cstheme="minorHAnsi"/>
          <w:sz w:val="20"/>
          <w:szCs w:val="20"/>
          <w:vertAlign w:val="subscript"/>
        </w:rPr>
        <w:t xml:space="preserve"> </w:t>
      </w:r>
      <w:r w:rsidRPr="000E294E">
        <w:rPr>
          <w:rFonts w:cstheme="minorHAnsi"/>
          <w:sz w:val="20"/>
          <w:szCs w:val="20"/>
        </w:rPr>
        <w:t>m</w:t>
      </w:r>
      <w:r w:rsidRPr="000E294E">
        <w:rPr>
          <w:rFonts w:cstheme="minorHAnsi"/>
          <w:sz w:val="20"/>
          <w:szCs w:val="20"/>
          <w:vertAlign w:val="subscript"/>
        </w:rPr>
        <w:t xml:space="preserve">ski </w:t>
      </w:r>
      <w:r w:rsidRPr="000E294E">
        <w:rPr>
          <w:rFonts w:cstheme="minorHAnsi"/>
          <w:sz w:val="20"/>
          <w:szCs w:val="20"/>
        </w:rPr>
        <w:t>x</w:t>
      </w:r>
      <w:r w:rsidRPr="000E294E">
        <w:rPr>
          <w:rFonts w:cstheme="minorHAnsi"/>
          <w:sz w:val="20"/>
          <w:szCs w:val="20"/>
          <w:vertAlign w:val="subscript"/>
        </w:rPr>
        <w:t xml:space="preserve"> </w:t>
      </w:r>
      <w:r w:rsidRPr="000E294E">
        <w:rPr>
          <w:rFonts w:cstheme="minorHAnsi"/>
          <w:sz w:val="20"/>
          <w:szCs w:val="20"/>
        </w:rPr>
        <w:t>ɳ</w:t>
      </w:r>
      <w:r w:rsidRPr="000E294E">
        <w:rPr>
          <w:rFonts w:cstheme="minorHAnsi"/>
          <w:sz w:val="20"/>
          <w:szCs w:val="20"/>
          <w:vertAlign w:val="subscript"/>
        </w:rPr>
        <w:t xml:space="preserve">i </w:t>
      </w:r>
      <w:r w:rsidRPr="000E294E">
        <w:rPr>
          <w:rFonts w:cstheme="minorHAnsi"/>
          <w:sz w:val="20"/>
          <w:szCs w:val="20"/>
        </w:rPr>
        <w:t>= (</w:t>
      </w:r>
      <w:r>
        <w:rPr>
          <w:rFonts w:cstheme="minorHAnsi"/>
          <w:sz w:val="20"/>
          <w:szCs w:val="20"/>
        </w:rPr>
        <w:t>7</w:t>
      </w:r>
      <w:r w:rsidRPr="000E294E">
        <w:rPr>
          <w:rFonts w:cstheme="minorHAnsi"/>
          <w:sz w:val="20"/>
          <w:szCs w:val="20"/>
        </w:rPr>
        <w:t xml:space="preserve"> x 6 x 1) = </w:t>
      </w:r>
      <w:r>
        <w:rPr>
          <w:rFonts w:cstheme="minorHAnsi"/>
          <w:sz w:val="20"/>
          <w:szCs w:val="20"/>
        </w:rPr>
        <w:t>42</w:t>
      </w:r>
      <w:r w:rsidRPr="000E294E">
        <w:rPr>
          <w:rFonts w:cstheme="minorHAnsi"/>
          <w:sz w:val="20"/>
          <w:szCs w:val="20"/>
        </w:rPr>
        <w:t xml:space="preserve">                   </w:t>
      </w:r>
      <w:r w:rsidRPr="000E294E">
        <w:rPr>
          <w:rFonts w:cstheme="minorHAnsi"/>
          <w:sz w:val="20"/>
          <w:szCs w:val="20"/>
          <w:u w:val="single"/>
        </w:rPr>
        <w:t>M</w:t>
      </w:r>
      <w:r w:rsidRPr="000E294E">
        <w:rPr>
          <w:rFonts w:cstheme="minorHAnsi"/>
          <w:sz w:val="20"/>
          <w:szCs w:val="20"/>
          <w:u w:val="single"/>
          <w:vertAlign w:val="subscript"/>
        </w:rPr>
        <w:t>C</w:t>
      </w:r>
      <w:r w:rsidRPr="000E294E">
        <w:rPr>
          <w:rFonts w:cstheme="minorHAnsi"/>
          <w:sz w:val="20"/>
          <w:szCs w:val="20"/>
          <w:u w:val="single"/>
        </w:rPr>
        <w:t xml:space="preserve"> ≤ M</w:t>
      </w:r>
      <w:r w:rsidRPr="000E294E">
        <w:rPr>
          <w:rFonts w:cstheme="minorHAnsi"/>
          <w:sz w:val="20"/>
          <w:szCs w:val="20"/>
          <w:u w:val="single"/>
          <w:vertAlign w:val="subscript"/>
        </w:rPr>
        <w:t xml:space="preserve">C,sk.    </w:t>
      </w:r>
      <w:r w:rsidRPr="000E294E">
        <w:rPr>
          <w:rFonts w:cstheme="minorHAnsi"/>
          <w:sz w:val="20"/>
          <w:szCs w:val="20"/>
        </w:rPr>
        <w:t>→   vyhovuje</w:t>
      </w:r>
    </w:p>
    <w:p w14:paraId="35BD34C6" w14:textId="77777777" w:rsidR="00B86B20" w:rsidRPr="000E294E" w:rsidRDefault="00B86B20" w:rsidP="00B86B20">
      <w:pPr>
        <w:spacing w:after="0"/>
        <w:jc w:val="both"/>
        <w:rPr>
          <w:rFonts w:cstheme="minorHAnsi"/>
          <w:sz w:val="20"/>
          <w:szCs w:val="20"/>
          <w:vertAlign w:val="subscript"/>
        </w:rPr>
      </w:pPr>
      <w:r w:rsidRPr="000E294E">
        <w:rPr>
          <w:rFonts w:cstheme="minorHAnsi"/>
          <w:sz w:val="20"/>
          <w:szCs w:val="20"/>
          <w:vertAlign w:val="superscript"/>
          <w:lang w:val="cs-CZ"/>
        </w:rPr>
        <w:t xml:space="preserve">                    i=1</w:t>
      </w:r>
    </w:p>
    <w:p w14:paraId="369E4F18" w14:textId="77777777" w:rsidR="00B86B20" w:rsidRPr="000E294E" w:rsidRDefault="00B86B20" w:rsidP="00B86B20">
      <w:pPr>
        <w:spacing w:after="0"/>
        <w:jc w:val="both"/>
        <w:rPr>
          <w:rFonts w:cstheme="minorHAnsi"/>
          <w:sz w:val="20"/>
          <w:szCs w:val="20"/>
          <w:vertAlign w:val="superscript"/>
        </w:rPr>
      </w:pPr>
      <w:r w:rsidRPr="000E294E">
        <w:rPr>
          <w:rFonts w:cstheme="minorHAnsi"/>
          <w:sz w:val="20"/>
          <w:szCs w:val="20"/>
        </w:rPr>
        <w:t>S        pôdorysná plocha požiarneho úseku, v m</w:t>
      </w:r>
      <w:r w:rsidRPr="000E294E">
        <w:rPr>
          <w:rFonts w:cstheme="minorHAnsi"/>
          <w:sz w:val="20"/>
          <w:szCs w:val="20"/>
          <w:vertAlign w:val="superscript"/>
        </w:rPr>
        <w:t>2</w:t>
      </w:r>
    </w:p>
    <w:p w14:paraId="724D2A47" w14:textId="77777777" w:rsidR="00B86B20" w:rsidRPr="000E294E" w:rsidRDefault="00B86B20" w:rsidP="00B86B20">
      <w:pPr>
        <w:spacing w:after="0"/>
        <w:jc w:val="both"/>
        <w:rPr>
          <w:rFonts w:cstheme="minorHAnsi"/>
          <w:sz w:val="20"/>
          <w:szCs w:val="20"/>
        </w:rPr>
      </w:pPr>
      <w:r w:rsidRPr="000E294E">
        <w:rPr>
          <w:rFonts w:cstheme="minorHAnsi"/>
          <w:sz w:val="20"/>
          <w:szCs w:val="20"/>
        </w:rPr>
        <w:t>a         súčiniteľ vyjadrujúci rýchlosť odhorievania, bez rozmeru</w:t>
      </w:r>
    </w:p>
    <w:p w14:paraId="155BC87A" w14:textId="77777777" w:rsidR="00B86B20" w:rsidRPr="000E294E" w:rsidRDefault="00B86B20" w:rsidP="00B86B20">
      <w:pPr>
        <w:spacing w:after="0"/>
        <w:jc w:val="both"/>
        <w:rPr>
          <w:rFonts w:cstheme="minorHAnsi"/>
          <w:sz w:val="20"/>
          <w:szCs w:val="20"/>
        </w:rPr>
      </w:pPr>
      <w:r w:rsidRPr="000E294E">
        <w:rPr>
          <w:rFonts w:cstheme="minorHAnsi"/>
          <w:sz w:val="20"/>
          <w:szCs w:val="20"/>
        </w:rPr>
        <w:t>M</w:t>
      </w:r>
      <w:r w:rsidRPr="000E294E">
        <w:rPr>
          <w:rFonts w:cstheme="minorHAnsi"/>
          <w:sz w:val="20"/>
          <w:szCs w:val="20"/>
          <w:vertAlign w:val="subscript"/>
        </w:rPr>
        <w:t>C</w:t>
      </w:r>
      <w:r w:rsidRPr="000E294E">
        <w:rPr>
          <w:rFonts w:cstheme="minorHAnsi"/>
          <w:sz w:val="20"/>
          <w:szCs w:val="20"/>
        </w:rPr>
        <w:t xml:space="preserve">      je celkové ekvivalentné množstvo hasiacich látok, v kg</w:t>
      </w:r>
    </w:p>
    <w:p w14:paraId="7D26AC56" w14:textId="77777777" w:rsidR="00B86B20" w:rsidRPr="000E294E" w:rsidRDefault="00B86B20" w:rsidP="00B86B20">
      <w:pPr>
        <w:spacing w:after="0"/>
        <w:jc w:val="both"/>
        <w:rPr>
          <w:rFonts w:cstheme="minorHAnsi"/>
          <w:sz w:val="20"/>
          <w:szCs w:val="20"/>
          <w:lang w:val="cs-CZ"/>
        </w:rPr>
      </w:pPr>
      <w:r w:rsidRPr="000E294E">
        <w:rPr>
          <w:rFonts w:cstheme="minorHAnsi"/>
          <w:sz w:val="20"/>
          <w:szCs w:val="20"/>
          <w:lang w:val="cs-CZ"/>
        </w:rPr>
        <w:t>n</w:t>
      </w:r>
      <w:r w:rsidRPr="000E294E">
        <w:rPr>
          <w:rFonts w:cstheme="minorHAnsi"/>
          <w:sz w:val="20"/>
          <w:szCs w:val="20"/>
          <w:vertAlign w:val="subscript"/>
          <w:lang w:val="cs-CZ"/>
        </w:rPr>
        <w:t xml:space="preserve">i       </w:t>
      </w:r>
      <w:r w:rsidRPr="000E294E">
        <w:rPr>
          <w:rFonts w:cstheme="minorHAnsi"/>
          <w:sz w:val="20"/>
          <w:szCs w:val="20"/>
          <w:lang w:val="cs-CZ"/>
        </w:rPr>
        <w:t xml:space="preserve">   počet hasiacich prístrojov i-tého druhu a súčasne i-tej hmotnosti náplne, bez rozmeru</w:t>
      </w:r>
    </w:p>
    <w:p w14:paraId="4FAE4C0A" w14:textId="77777777" w:rsidR="00B86B20" w:rsidRPr="000E294E" w:rsidRDefault="00B86B20" w:rsidP="00B86B20">
      <w:pPr>
        <w:spacing w:after="0"/>
        <w:jc w:val="both"/>
        <w:rPr>
          <w:rFonts w:cstheme="minorHAnsi"/>
          <w:sz w:val="20"/>
          <w:szCs w:val="20"/>
          <w:lang w:val="cs-CZ"/>
        </w:rPr>
      </w:pPr>
      <w:r w:rsidRPr="000E294E">
        <w:rPr>
          <w:rFonts w:cstheme="minorHAnsi"/>
          <w:sz w:val="20"/>
          <w:szCs w:val="20"/>
          <w:lang w:val="cs-CZ"/>
        </w:rPr>
        <w:t>m</w:t>
      </w:r>
      <w:r w:rsidRPr="000E294E">
        <w:rPr>
          <w:rFonts w:cstheme="minorHAnsi"/>
          <w:sz w:val="20"/>
          <w:szCs w:val="20"/>
          <w:vertAlign w:val="subscript"/>
          <w:lang w:val="cs-CZ"/>
        </w:rPr>
        <w:t xml:space="preserve">ski      </w:t>
      </w:r>
      <w:r w:rsidRPr="000E294E">
        <w:rPr>
          <w:rFonts w:cstheme="minorHAnsi"/>
          <w:sz w:val="20"/>
          <w:szCs w:val="20"/>
          <w:lang w:val="cs-CZ"/>
        </w:rPr>
        <w:t>skutočná hmotnosť náplne i-tého hasiaceho prístroja v kg</w:t>
      </w:r>
    </w:p>
    <w:p w14:paraId="6CA7EB94" w14:textId="77777777" w:rsidR="00B86B20" w:rsidRPr="000E294E" w:rsidRDefault="00B86B20" w:rsidP="00B86B20">
      <w:pPr>
        <w:spacing w:after="0"/>
        <w:jc w:val="both"/>
        <w:rPr>
          <w:rFonts w:cstheme="minorHAnsi"/>
          <w:sz w:val="20"/>
          <w:szCs w:val="20"/>
          <w:lang w:val="cs-CZ"/>
        </w:rPr>
      </w:pPr>
      <w:r w:rsidRPr="000E294E">
        <w:rPr>
          <w:rFonts w:cstheme="minorHAnsi"/>
          <w:sz w:val="20"/>
          <w:szCs w:val="20"/>
          <w:lang w:val="cs-CZ"/>
        </w:rPr>
        <w:t>ɳ</w:t>
      </w:r>
      <w:r w:rsidRPr="000E294E">
        <w:rPr>
          <w:rFonts w:cstheme="minorHAnsi"/>
          <w:sz w:val="20"/>
          <w:szCs w:val="20"/>
          <w:vertAlign w:val="subscript"/>
          <w:lang w:val="cs-CZ"/>
        </w:rPr>
        <w:t xml:space="preserve">i      </w:t>
      </w:r>
      <w:r w:rsidRPr="000E294E">
        <w:rPr>
          <w:rFonts w:cstheme="minorHAnsi"/>
          <w:sz w:val="20"/>
          <w:szCs w:val="20"/>
          <w:lang w:val="cs-CZ"/>
        </w:rPr>
        <w:t xml:space="preserve">    hasiaca účinnosť hasiaceho prístroja i-teho druhu, bez rozmeru</w:t>
      </w:r>
    </w:p>
    <w:p w14:paraId="010585B4" w14:textId="77777777" w:rsidR="00B86B20" w:rsidRPr="000E294E" w:rsidRDefault="00B86B20" w:rsidP="00B86B20">
      <w:pPr>
        <w:spacing w:after="0"/>
        <w:jc w:val="both"/>
        <w:rPr>
          <w:rFonts w:cstheme="minorHAnsi"/>
          <w:sz w:val="20"/>
          <w:szCs w:val="20"/>
          <w:lang w:val="cs-CZ"/>
        </w:rPr>
      </w:pPr>
      <w:r w:rsidRPr="000E294E">
        <w:rPr>
          <w:rFonts w:cstheme="minorHAnsi"/>
          <w:sz w:val="20"/>
          <w:szCs w:val="20"/>
          <w:lang w:val="cs-CZ"/>
        </w:rPr>
        <w:t xml:space="preserve">j          počet druhov hasiacich prístrojov a počet rozdielnych hmotností náplní jednotlivých       </w:t>
      </w:r>
    </w:p>
    <w:p w14:paraId="4BE70476" w14:textId="77777777" w:rsidR="00B86B20" w:rsidRPr="000E294E" w:rsidRDefault="00B86B20" w:rsidP="00B86B20">
      <w:pPr>
        <w:spacing w:after="0"/>
        <w:ind w:firstLine="284"/>
        <w:jc w:val="both"/>
        <w:rPr>
          <w:rFonts w:cstheme="minorHAnsi"/>
          <w:sz w:val="20"/>
          <w:szCs w:val="20"/>
        </w:rPr>
      </w:pPr>
      <w:r w:rsidRPr="000E294E">
        <w:rPr>
          <w:rFonts w:cstheme="minorHAnsi"/>
          <w:sz w:val="20"/>
          <w:szCs w:val="20"/>
          <w:lang w:val="cs-CZ"/>
        </w:rPr>
        <w:t xml:space="preserve">           druhov hasiacich prístrojov</w:t>
      </w:r>
    </w:p>
    <w:p w14:paraId="78A2F3F0" w14:textId="77777777" w:rsidR="00B86B20" w:rsidRDefault="00B86B20" w:rsidP="00B86B20">
      <w:pPr>
        <w:spacing w:after="0" w:line="240" w:lineRule="auto"/>
        <w:jc w:val="both"/>
        <w:rPr>
          <w:rFonts w:cstheme="minorHAnsi"/>
          <w:sz w:val="20"/>
          <w:szCs w:val="20"/>
        </w:rPr>
      </w:pPr>
    </w:p>
    <w:p w14:paraId="1E753806" w14:textId="77777777" w:rsidR="00B86B20" w:rsidRPr="00CD2A61" w:rsidRDefault="00B86B20" w:rsidP="00B86B20">
      <w:pPr>
        <w:spacing w:after="0" w:line="240" w:lineRule="auto"/>
        <w:ind w:firstLine="567"/>
        <w:jc w:val="both"/>
        <w:rPr>
          <w:rFonts w:cstheme="minorHAnsi"/>
          <w:sz w:val="20"/>
          <w:szCs w:val="20"/>
        </w:rPr>
      </w:pPr>
      <w:r w:rsidRPr="00CD2A61">
        <w:rPr>
          <w:rFonts w:cstheme="minorHAnsi"/>
          <w:sz w:val="20"/>
          <w:szCs w:val="20"/>
        </w:rPr>
        <w:t>V PÚ N 1.</w:t>
      </w:r>
      <w:r>
        <w:rPr>
          <w:rFonts w:cstheme="minorHAnsi"/>
          <w:sz w:val="20"/>
          <w:szCs w:val="20"/>
        </w:rPr>
        <w:t>0</w:t>
      </w:r>
      <w:r w:rsidRPr="00CD2A61">
        <w:rPr>
          <w:rFonts w:cstheme="minorHAnsi"/>
          <w:sz w:val="20"/>
          <w:szCs w:val="20"/>
        </w:rPr>
        <w:t xml:space="preserve">1 je stanovené umiestniť </w:t>
      </w:r>
      <w:r>
        <w:rPr>
          <w:rFonts w:cstheme="minorHAnsi"/>
          <w:sz w:val="20"/>
          <w:szCs w:val="20"/>
        </w:rPr>
        <w:t>7</w:t>
      </w:r>
      <w:r w:rsidRPr="00CD2A61">
        <w:rPr>
          <w:rFonts w:cstheme="minorHAnsi"/>
          <w:sz w:val="20"/>
          <w:szCs w:val="20"/>
        </w:rPr>
        <w:t xml:space="preserve"> kus</w:t>
      </w:r>
      <w:r>
        <w:rPr>
          <w:rFonts w:cstheme="minorHAnsi"/>
          <w:sz w:val="20"/>
          <w:szCs w:val="20"/>
        </w:rPr>
        <w:t>ov</w:t>
      </w:r>
      <w:r w:rsidRPr="00CD2A61">
        <w:rPr>
          <w:rFonts w:cstheme="minorHAnsi"/>
          <w:sz w:val="20"/>
          <w:szCs w:val="20"/>
        </w:rPr>
        <w:t xml:space="preserve"> prenosných hasiacich prístrojov so 6 kg náplňou prášku. </w:t>
      </w:r>
    </w:p>
    <w:p w14:paraId="11F2FF25" w14:textId="77777777" w:rsidR="00B86B20" w:rsidRPr="00CD2A61" w:rsidRDefault="00B86B20" w:rsidP="00B86B20">
      <w:pPr>
        <w:spacing w:after="0" w:line="240" w:lineRule="auto"/>
        <w:ind w:firstLine="567"/>
        <w:jc w:val="both"/>
        <w:rPr>
          <w:rFonts w:cstheme="minorHAnsi"/>
          <w:sz w:val="20"/>
          <w:szCs w:val="20"/>
        </w:rPr>
      </w:pPr>
      <w:r w:rsidRPr="00CD2A61">
        <w:rPr>
          <w:rFonts w:cstheme="minorHAnsi"/>
          <w:sz w:val="20"/>
          <w:szCs w:val="20"/>
        </w:rPr>
        <w:t>Prenosný HP po ukončení stavebných prác sa umiestňuje podľa grafickej prílohy na trvalo prístupnom a dobre viditeľnom mieste, spravidla na zvislých konštrukciách alebo na zemi podľa pokynov výrobcu. HP sa inštaluje tak, aby rukovať prístroja bola najviac 1,5 m nad podlahou, alebo vo výške podlahy. HP sa rozmiestňujú tak, aby ich vzájomná vzdialenosť bola najviac 30 m. Všetky prístroje musia byť inštalované na prístupných a viditeľných miestach, vo vzdialenostiach najmenej 1,5 m od zdrojov tepla a chránené od priameho slnečného prehriatia. Pri pripevňovaní a umiestňovaní HP sa postupuje podľa pokynov výrobcu.</w:t>
      </w:r>
    </w:p>
    <w:p w14:paraId="3232F46D" w14:textId="77777777" w:rsidR="00B86B20" w:rsidRPr="00CD2A61" w:rsidRDefault="00B86B20" w:rsidP="00B86B20">
      <w:pPr>
        <w:spacing w:after="0" w:line="240" w:lineRule="auto"/>
        <w:ind w:firstLine="567"/>
        <w:jc w:val="both"/>
        <w:rPr>
          <w:rFonts w:cstheme="minorHAnsi"/>
          <w:sz w:val="20"/>
          <w:szCs w:val="20"/>
        </w:rPr>
      </w:pPr>
      <w:r w:rsidRPr="00CD2A61">
        <w:rPr>
          <w:rFonts w:cstheme="minorHAnsi"/>
          <w:sz w:val="20"/>
          <w:szCs w:val="20"/>
        </w:rPr>
        <w:t xml:space="preserve">Stanovište HP je miesto na hasiaci prístroj, ktoré je označené značkou požiarnej ochrany pre HP podľa osobitného predpisu (Nariadenie vlády č.387/2006 Z.z.). Prístup k stanovišťu HP sa v prípade, že nie je priamo viditeľný, označuje šípkou a piktogramom podľa osobitného predpisu (Nariadenie vlády č.387/2006 Z.z.). Vo všeobecnosti sa HP rozmiestňujú najmä v blízkosti technických a technologických zariadení, na miestach so zvýšeným požiarnym nebezpečenstvom a v priestoroch, v ktorých sa vykonávajú činnosti so zvýšeným nebezpečenstvom vzniku požiaru alebo výbuchu. Umiestnenie HP nesmie brániť evakuácii osôb z objektu ohrozeného požiarom alebo ju inak sťažovať; týka sa to najmä objektov alebo priestorov, v ktorých sa sústreďuje väčší počet osôb. Takisto nie je vhodné umiestňovať HP v tmavých a úzkych priestoroch. HP sa nesmú vystaviť sálavému teplu ani priamemu slnečnému žiareniu, ktoré by mohlo spôsobiť zvýšenie ich teploty nad povolenú teplotu uvedenú výrobcom. HP na stanovišti hasiaceho prístroja musí byť chránený pred priamymi účinkami slnečného žiarenia a nepriaznivými účinkami prostredia. </w:t>
      </w:r>
    </w:p>
    <w:p w14:paraId="67D7C619" w14:textId="77777777" w:rsidR="00B86B20" w:rsidRPr="00CD2A61" w:rsidRDefault="00B86B20" w:rsidP="00B86B20">
      <w:pPr>
        <w:spacing w:after="0" w:line="240" w:lineRule="auto"/>
        <w:ind w:firstLine="567"/>
        <w:jc w:val="both"/>
        <w:rPr>
          <w:rFonts w:cstheme="minorHAnsi"/>
          <w:sz w:val="20"/>
          <w:szCs w:val="20"/>
        </w:rPr>
      </w:pPr>
      <w:r w:rsidRPr="00CD2A61">
        <w:rPr>
          <w:rFonts w:cstheme="minorHAnsi"/>
          <w:sz w:val="20"/>
          <w:szCs w:val="20"/>
        </w:rPr>
        <w:t>Kontroly prenosných hasiacich prístrojov a kontroly pojazdných hasiacich prístrojov musia byť vykonané podľa platných právnych predpisov. To sa vzťahuje aj na lehoty ďalšej kontroly prenosných hasiacich prístrojov, ktoré začali plynúť po vykonaní opravy a plnenia príslušného prenosného hasiaceho prístroja.</w:t>
      </w:r>
    </w:p>
    <w:p w14:paraId="718B01B1" w14:textId="77777777" w:rsidR="008C645C" w:rsidRPr="008C645C" w:rsidRDefault="008C645C" w:rsidP="008C645C">
      <w:pPr>
        <w:spacing w:after="0"/>
        <w:ind w:firstLine="720"/>
        <w:rPr>
          <w:rFonts w:ascii="Times New Roman" w:hAnsi="Times New Roman" w:cs="Times New Roman"/>
          <w:sz w:val="18"/>
          <w:highlight w:val="yellow"/>
        </w:rPr>
      </w:pPr>
    </w:p>
    <w:p w14:paraId="7CCCCFF2" w14:textId="77777777" w:rsidR="008C645C" w:rsidRPr="008C645C" w:rsidRDefault="008C645C" w:rsidP="00FE37D3">
      <w:pPr>
        <w:numPr>
          <w:ilvl w:val="1"/>
          <w:numId w:val="7"/>
        </w:numPr>
        <w:spacing w:after="0"/>
        <w:ind w:left="1134" w:hanging="567"/>
        <w:contextualSpacing/>
        <w:rPr>
          <w:rFonts w:ascii="Tw Cen MT Condensed" w:hAnsi="Tw Cen MT Condensed" w:cs="Times New Roman"/>
          <w:b/>
        </w:rPr>
      </w:pPr>
      <w:r w:rsidRPr="008C645C">
        <w:rPr>
          <w:rFonts w:ascii="Tw Cen MT Condensed" w:hAnsi="Tw Cen MT Condensed" w:cs="Times New Roman"/>
          <w:b/>
        </w:rPr>
        <w:t>Hlasová signalizácia požiaru</w:t>
      </w:r>
    </w:p>
    <w:p w14:paraId="58525F70" w14:textId="77777777" w:rsidR="008C645C" w:rsidRPr="008C645C" w:rsidRDefault="008C645C" w:rsidP="008C645C">
      <w:pPr>
        <w:spacing w:after="0"/>
        <w:ind w:left="1134"/>
        <w:contextualSpacing/>
        <w:jc w:val="both"/>
        <w:rPr>
          <w:rFonts w:ascii="Times New Roman" w:hAnsi="Times New Roman" w:cs="Times New Roman"/>
          <w:b/>
          <w:sz w:val="20"/>
        </w:rPr>
      </w:pPr>
    </w:p>
    <w:p w14:paraId="6B243483" w14:textId="77777777" w:rsidR="008C645C" w:rsidRPr="008C645C" w:rsidRDefault="008C645C" w:rsidP="008C645C">
      <w:pPr>
        <w:spacing w:after="0"/>
        <w:ind w:firstLine="284"/>
        <w:contextualSpacing/>
        <w:jc w:val="both"/>
        <w:rPr>
          <w:rFonts w:cstheme="minorHAnsi"/>
          <w:b/>
        </w:rPr>
      </w:pPr>
      <w:r w:rsidRPr="008C645C">
        <w:rPr>
          <w:rFonts w:cstheme="minorHAnsi"/>
          <w:sz w:val="20"/>
          <w:szCs w:val="20"/>
        </w:rPr>
        <w:t>V súlade s §90 vyhlášky nemusí byť stavba vybavená žiadnymi zariadeniami hlasovej signalizácie požiaru.</w:t>
      </w:r>
    </w:p>
    <w:p w14:paraId="66FF63D9" w14:textId="77777777" w:rsidR="008C645C" w:rsidRPr="008C645C" w:rsidRDefault="008C645C" w:rsidP="008C645C">
      <w:pPr>
        <w:spacing w:after="0"/>
        <w:ind w:left="1134"/>
        <w:contextualSpacing/>
        <w:rPr>
          <w:rFonts w:ascii="Times New Roman" w:hAnsi="Times New Roman" w:cs="Times New Roman"/>
          <w:b/>
          <w:sz w:val="18"/>
        </w:rPr>
      </w:pPr>
    </w:p>
    <w:p w14:paraId="6EA66926" w14:textId="77777777" w:rsidR="008C645C" w:rsidRPr="008C645C" w:rsidRDefault="008C645C" w:rsidP="00FE37D3">
      <w:pPr>
        <w:numPr>
          <w:ilvl w:val="1"/>
          <w:numId w:val="7"/>
        </w:numPr>
        <w:spacing w:after="0"/>
        <w:ind w:left="1134" w:hanging="567"/>
        <w:contextualSpacing/>
        <w:rPr>
          <w:rFonts w:ascii="Tw Cen MT Condensed" w:hAnsi="Tw Cen MT Condensed" w:cs="Times New Roman"/>
          <w:b/>
        </w:rPr>
      </w:pPr>
      <w:r w:rsidRPr="008C645C">
        <w:rPr>
          <w:rFonts w:ascii="Tw Cen MT Condensed" w:hAnsi="Tw Cen MT Condensed" w:cs="Times New Roman"/>
          <w:b/>
        </w:rPr>
        <w:t>Trvalá dodávka elektrickej energie</w:t>
      </w:r>
    </w:p>
    <w:p w14:paraId="011CD789" w14:textId="77777777" w:rsidR="008C645C" w:rsidRPr="008C645C" w:rsidRDefault="008C645C" w:rsidP="008C645C">
      <w:pPr>
        <w:spacing w:after="0"/>
        <w:ind w:left="1134"/>
        <w:contextualSpacing/>
        <w:rPr>
          <w:rFonts w:ascii="Times New Roman" w:hAnsi="Times New Roman" w:cs="Times New Roman"/>
          <w:b/>
          <w:sz w:val="18"/>
        </w:rPr>
      </w:pPr>
    </w:p>
    <w:p w14:paraId="4A8558A5"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 xml:space="preserve">V stavbe nie sú žiadne zariadenia funkčné počas požiaru, a teda v súlade s §91 vyhlášky sa pre túto stavbu nerieší zabezpečenie trvalej dodávky elektrickej energie. </w:t>
      </w:r>
    </w:p>
    <w:p w14:paraId="612A7F91" w14:textId="2E9AF6E2" w:rsidR="00B44BFA" w:rsidRDefault="00B44BFA" w:rsidP="008C645C">
      <w:pPr>
        <w:spacing w:after="0" w:line="240" w:lineRule="auto"/>
        <w:ind w:left="1134"/>
        <w:contextualSpacing/>
        <w:rPr>
          <w:rFonts w:ascii="Times New Roman" w:hAnsi="Times New Roman" w:cs="Times New Roman"/>
          <w:b/>
          <w:color w:val="FF0000"/>
          <w:sz w:val="18"/>
        </w:rPr>
      </w:pPr>
    </w:p>
    <w:p w14:paraId="09FE1289" w14:textId="7319C61B" w:rsidR="0023490D" w:rsidRDefault="0023490D" w:rsidP="008C645C">
      <w:pPr>
        <w:spacing w:after="0" w:line="240" w:lineRule="auto"/>
        <w:ind w:left="1134"/>
        <w:contextualSpacing/>
        <w:rPr>
          <w:rFonts w:ascii="Times New Roman" w:hAnsi="Times New Roman" w:cs="Times New Roman"/>
          <w:b/>
          <w:color w:val="FF0000"/>
          <w:sz w:val="18"/>
        </w:rPr>
      </w:pPr>
    </w:p>
    <w:p w14:paraId="3ED1E212" w14:textId="14DAB01F" w:rsidR="0023490D" w:rsidRDefault="0023490D" w:rsidP="008C645C">
      <w:pPr>
        <w:spacing w:after="0" w:line="240" w:lineRule="auto"/>
        <w:ind w:left="1134"/>
        <w:contextualSpacing/>
        <w:rPr>
          <w:rFonts w:ascii="Times New Roman" w:hAnsi="Times New Roman" w:cs="Times New Roman"/>
          <w:b/>
          <w:color w:val="FF0000"/>
          <w:sz w:val="18"/>
        </w:rPr>
      </w:pPr>
    </w:p>
    <w:p w14:paraId="24A3581A" w14:textId="297791D2" w:rsidR="0023490D" w:rsidRDefault="0023490D" w:rsidP="008C645C">
      <w:pPr>
        <w:spacing w:after="0" w:line="240" w:lineRule="auto"/>
        <w:ind w:left="1134"/>
        <w:contextualSpacing/>
        <w:rPr>
          <w:rFonts w:ascii="Times New Roman" w:hAnsi="Times New Roman" w:cs="Times New Roman"/>
          <w:b/>
          <w:color w:val="FF0000"/>
          <w:sz w:val="18"/>
        </w:rPr>
      </w:pPr>
    </w:p>
    <w:p w14:paraId="6B21FDDA" w14:textId="121488DD" w:rsidR="0023490D" w:rsidRDefault="0023490D" w:rsidP="008C645C">
      <w:pPr>
        <w:spacing w:after="0" w:line="240" w:lineRule="auto"/>
        <w:ind w:left="1134"/>
        <w:contextualSpacing/>
        <w:rPr>
          <w:rFonts w:ascii="Times New Roman" w:hAnsi="Times New Roman" w:cs="Times New Roman"/>
          <w:b/>
          <w:color w:val="FF0000"/>
          <w:sz w:val="18"/>
        </w:rPr>
      </w:pPr>
    </w:p>
    <w:p w14:paraId="38D332B8" w14:textId="194D8BAC" w:rsidR="0023490D" w:rsidRDefault="0023490D" w:rsidP="008C645C">
      <w:pPr>
        <w:spacing w:after="0" w:line="240" w:lineRule="auto"/>
        <w:ind w:left="1134"/>
        <w:contextualSpacing/>
        <w:rPr>
          <w:rFonts w:ascii="Times New Roman" w:hAnsi="Times New Roman" w:cs="Times New Roman"/>
          <w:b/>
          <w:color w:val="FF0000"/>
          <w:sz w:val="18"/>
        </w:rPr>
      </w:pPr>
    </w:p>
    <w:p w14:paraId="4EF3FC42" w14:textId="0121415A" w:rsidR="0023490D" w:rsidRDefault="0023490D" w:rsidP="008C645C">
      <w:pPr>
        <w:spacing w:after="0" w:line="240" w:lineRule="auto"/>
        <w:ind w:left="1134"/>
        <w:contextualSpacing/>
        <w:rPr>
          <w:rFonts w:ascii="Times New Roman" w:hAnsi="Times New Roman" w:cs="Times New Roman"/>
          <w:b/>
          <w:color w:val="FF0000"/>
          <w:sz w:val="18"/>
        </w:rPr>
      </w:pPr>
    </w:p>
    <w:p w14:paraId="73D4D735" w14:textId="47511154" w:rsidR="0023490D" w:rsidRDefault="0023490D" w:rsidP="008C645C">
      <w:pPr>
        <w:spacing w:after="0" w:line="240" w:lineRule="auto"/>
        <w:ind w:left="1134"/>
        <w:contextualSpacing/>
        <w:rPr>
          <w:rFonts w:ascii="Times New Roman" w:hAnsi="Times New Roman" w:cs="Times New Roman"/>
          <w:b/>
          <w:color w:val="FF0000"/>
          <w:sz w:val="18"/>
        </w:rPr>
      </w:pPr>
    </w:p>
    <w:p w14:paraId="0C129950" w14:textId="77777777" w:rsidR="0023490D" w:rsidRPr="008C645C" w:rsidRDefault="0023490D" w:rsidP="008C645C">
      <w:pPr>
        <w:spacing w:after="0" w:line="240" w:lineRule="auto"/>
        <w:ind w:left="1134"/>
        <w:contextualSpacing/>
        <w:rPr>
          <w:rFonts w:ascii="Times New Roman" w:hAnsi="Times New Roman" w:cs="Times New Roman"/>
          <w:b/>
          <w:color w:val="FF0000"/>
          <w:sz w:val="18"/>
        </w:rPr>
      </w:pPr>
      <w:bookmarkStart w:id="10" w:name="_GoBack"/>
      <w:bookmarkEnd w:id="10"/>
    </w:p>
    <w:p w14:paraId="26000F4E" w14:textId="77777777" w:rsidR="008C645C" w:rsidRPr="008C645C" w:rsidRDefault="008C645C" w:rsidP="00FE37D3">
      <w:pPr>
        <w:numPr>
          <w:ilvl w:val="0"/>
          <w:numId w:val="7"/>
        </w:numPr>
        <w:spacing w:after="0"/>
        <w:ind w:left="567" w:hanging="567"/>
        <w:contextualSpacing/>
        <w:rPr>
          <w:rFonts w:ascii="Tw Cen MT Condensed" w:hAnsi="Tw Cen MT Condensed" w:cs="Times New Roman"/>
          <w:b/>
          <w:highlight w:val="lightGray"/>
        </w:rPr>
      </w:pPr>
      <w:r w:rsidRPr="008C645C">
        <w:rPr>
          <w:rFonts w:ascii="Tw Cen MT Condensed" w:hAnsi="Tw Cen MT Condensed" w:cs="Times New Roman"/>
          <w:b/>
          <w:highlight w:val="lightGray"/>
        </w:rPr>
        <w:lastRenderedPageBreak/>
        <w:t>Zásobovanie energiami</w:t>
      </w:r>
    </w:p>
    <w:p w14:paraId="6B57F5AE" w14:textId="77777777" w:rsidR="008C645C" w:rsidRPr="008C645C" w:rsidRDefault="008C645C" w:rsidP="008C645C">
      <w:pPr>
        <w:spacing w:after="0"/>
        <w:ind w:left="567"/>
        <w:contextualSpacing/>
        <w:rPr>
          <w:rFonts w:ascii="Times New Roman" w:hAnsi="Times New Roman" w:cs="Times New Roman"/>
          <w:b/>
          <w:sz w:val="18"/>
        </w:rPr>
      </w:pPr>
    </w:p>
    <w:p w14:paraId="287905F4" w14:textId="77777777" w:rsidR="008C645C" w:rsidRPr="008C645C" w:rsidRDefault="008C645C" w:rsidP="00FE37D3">
      <w:pPr>
        <w:numPr>
          <w:ilvl w:val="1"/>
          <w:numId w:val="7"/>
        </w:numPr>
        <w:spacing w:after="0"/>
        <w:ind w:left="1134" w:hanging="567"/>
        <w:contextualSpacing/>
        <w:rPr>
          <w:rFonts w:ascii="Tw Cen MT Condensed" w:hAnsi="Tw Cen MT Condensed" w:cstheme="minorHAnsi"/>
          <w:b/>
        </w:rPr>
      </w:pPr>
      <w:r w:rsidRPr="008C645C">
        <w:rPr>
          <w:rFonts w:ascii="Tw Cen MT Condensed" w:hAnsi="Tw Cen MT Condensed" w:cstheme="minorHAnsi"/>
          <w:b/>
        </w:rPr>
        <w:t>Elektrická energia</w:t>
      </w:r>
    </w:p>
    <w:p w14:paraId="45E6314A" w14:textId="77777777" w:rsidR="008C645C" w:rsidRPr="008C645C" w:rsidRDefault="008C645C" w:rsidP="008C645C">
      <w:pPr>
        <w:spacing w:after="0"/>
        <w:ind w:left="1134"/>
        <w:contextualSpacing/>
        <w:rPr>
          <w:rFonts w:ascii="Times New Roman" w:hAnsi="Times New Roman" w:cs="Times New Roman"/>
          <w:b/>
          <w:sz w:val="18"/>
        </w:rPr>
      </w:pPr>
    </w:p>
    <w:p w14:paraId="63DFCE51" w14:textId="47C43D9B" w:rsidR="008C645C" w:rsidRPr="008C645C" w:rsidRDefault="008C645C" w:rsidP="00B86B20">
      <w:pPr>
        <w:spacing w:after="0"/>
        <w:ind w:firstLine="284"/>
        <w:contextualSpacing/>
        <w:jc w:val="both"/>
        <w:rPr>
          <w:rFonts w:cstheme="minorHAnsi"/>
          <w:sz w:val="20"/>
          <w:szCs w:val="20"/>
        </w:rPr>
      </w:pPr>
      <w:r w:rsidRPr="008C645C">
        <w:rPr>
          <w:rFonts w:cstheme="minorHAnsi"/>
          <w:sz w:val="20"/>
          <w:szCs w:val="20"/>
        </w:rPr>
        <w:t xml:space="preserve">V objekte je navrhovaná inštalácia elektrických zariadení v súlade s určeným druhom jednotlivých prostredí, návrh inštalácie tvorí samostatnú časť projektovej dokumentácie stavby. V objekte je navrhnutý hlavný vypínač na dostupnom a trvalo nezastavanom a prístupnom mieste. Všetky elektrické zariadenia sú označené príslušnými tabuľkami. </w:t>
      </w:r>
    </w:p>
    <w:p w14:paraId="5975CE99" w14:textId="77777777" w:rsidR="008C645C" w:rsidRPr="008C645C" w:rsidRDefault="008C645C" w:rsidP="008C645C">
      <w:pPr>
        <w:spacing w:after="0"/>
        <w:rPr>
          <w:rFonts w:ascii="Times New Roman" w:hAnsi="Times New Roman" w:cs="Times New Roman"/>
          <w:sz w:val="18"/>
        </w:rPr>
      </w:pPr>
    </w:p>
    <w:p w14:paraId="1783B242" w14:textId="77777777" w:rsidR="008C645C" w:rsidRPr="008C645C" w:rsidRDefault="008C645C" w:rsidP="00FE37D3">
      <w:pPr>
        <w:numPr>
          <w:ilvl w:val="1"/>
          <w:numId w:val="7"/>
        </w:numPr>
        <w:spacing w:after="0"/>
        <w:ind w:left="1134" w:hanging="567"/>
        <w:contextualSpacing/>
        <w:rPr>
          <w:rFonts w:ascii="Tw Cen MT Condensed" w:hAnsi="Tw Cen MT Condensed" w:cs="Times New Roman"/>
          <w:b/>
          <w:bCs/>
        </w:rPr>
      </w:pPr>
      <w:r w:rsidRPr="008C645C">
        <w:rPr>
          <w:rFonts w:ascii="Tw Cen MT Condensed" w:hAnsi="Tw Cen MT Condensed" w:cs="Times New Roman"/>
          <w:b/>
        </w:rPr>
        <w:t>Elektrické zariadenia a bleskozvody</w:t>
      </w:r>
    </w:p>
    <w:p w14:paraId="325A3CF5" w14:textId="77777777" w:rsidR="008C645C" w:rsidRPr="008C645C" w:rsidRDefault="008C645C" w:rsidP="008C645C">
      <w:pPr>
        <w:spacing w:after="0"/>
        <w:rPr>
          <w:rFonts w:ascii="Times New Roman" w:hAnsi="Times New Roman" w:cs="Times New Roman"/>
          <w:b/>
          <w:sz w:val="18"/>
        </w:rPr>
      </w:pPr>
    </w:p>
    <w:p w14:paraId="742B8E1D" w14:textId="77777777" w:rsidR="00B86B20" w:rsidRPr="00B86B20" w:rsidRDefault="00B86B20" w:rsidP="00B86B20">
      <w:pPr>
        <w:spacing w:after="0" w:line="240" w:lineRule="auto"/>
        <w:jc w:val="both"/>
        <w:rPr>
          <w:rFonts w:cstheme="minorHAnsi"/>
          <w:sz w:val="20"/>
          <w:szCs w:val="20"/>
        </w:rPr>
      </w:pPr>
      <w:r w:rsidRPr="00B86B20">
        <w:rPr>
          <w:rFonts w:cstheme="minorHAnsi"/>
          <w:sz w:val="20"/>
          <w:szCs w:val="20"/>
        </w:rPr>
        <w:t>Na streche budovy budú osadené pasívne bleskozvody.</w:t>
      </w:r>
    </w:p>
    <w:p w14:paraId="420FC383" w14:textId="77777777" w:rsidR="008C645C" w:rsidRPr="008C645C" w:rsidRDefault="008C645C" w:rsidP="008C645C">
      <w:pPr>
        <w:numPr>
          <w:ilvl w:val="8"/>
          <w:numId w:val="10"/>
        </w:numPr>
        <w:spacing w:after="0"/>
        <w:contextualSpacing/>
        <w:jc w:val="both"/>
        <w:rPr>
          <w:rFonts w:ascii="Times New Roman" w:hAnsi="Times New Roman" w:cs="Times New Roman"/>
          <w:color w:val="FF0000"/>
          <w:sz w:val="18"/>
          <w:szCs w:val="20"/>
        </w:rPr>
      </w:pPr>
    </w:p>
    <w:p w14:paraId="71CC56B2" w14:textId="77777777" w:rsidR="008C645C" w:rsidRPr="008C645C" w:rsidRDefault="008C645C" w:rsidP="00FE37D3">
      <w:pPr>
        <w:numPr>
          <w:ilvl w:val="1"/>
          <w:numId w:val="7"/>
        </w:numPr>
        <w:spacing w:after="0"/>
        <w:ind w:left="1134" w:hanging="567"/>
        <w:contextualSpacing/>
        <w:rPr>
          <w:rFonts w:ascii="Tw Cen MT Condensed" w:hAnsi="Tw Cen MT Condensed" w:cs="Times New Roman"/>
          <w:b/>
        </w:rPr>
      </w:pPr>
      <w:r w:rsidRPr="008C645C">
        <w:rPr>
          <w:rFonts w:ascii="Tw Cen MT Condensed" w:hAnsi="Tw Cen MT Condensed" w:cs="Times New Roman"/>
          <w:b/>
        </w:rPr>
        <w:t>Vykurovanie</w:t>
      </w:r>
    </w:p>
    <w:p w14:paraId="4726F043" w14:textId="77777777" w:rsidR="008C645C" w:rsidRPr="008C645C" w:rsidRDefault="008C645C" w:rsidP="008C645C">
      <w:pPr>
        <w:spacing w:after="0"/>
        <w:ind w:left="1134"/>
        <w:contextualSpacing/>
        <w:rPr>
          <w:rFonts w:ascii="Times New Roman" w:hAnsi="Times New Roman" w:cs="Times New Roman"/>
          <w:b/>
          <w:sz w:val="18"/>
        </w:rPr>
      </w:pPr>
    </w:p>
    <w:p w14:paraId="3BDC0F16" w14:textId="77777777" w:rsidR="008C645C" w:rsidRPr="008C645C" w:rsidRDefault="008C645C" w:rsidP="008C645C">
      <w:pPr>
        <w:spacing w:after="0"/>
        <w:jc w:val="both"/>
        <w:rPr>
          <w:rFonts w:cstheme="minorHAnsi"/>
          <w:sz w:val="20"/>
          <w:szCs w:val="18"/>
        </w:rPr>
      </w:pPr>
      <w:r w:rsidRPr="008C645C">
        <w:rPr>
          <w:rFonts w:cstheme="minorHAnsi"/>
          <w:sz w:val="20"/>
          <w:szCs w:val="18"/>
        </w:rPr>
        <w:t xml:space="preserve">Objekt nebude vykurovaný. </w:t>
      </w:r>
    </w:p>
    <w:p w14:paraId="043B832E" w14:textId="77777777" w:rsidR="008C645C" w:rsidRPr="008C645C" w:rsidRDefault="008C645C" w:rsidP="008C645C">
      <w:pPr>
        <w:spacing w:after="0"/>
        <w:rPr>
          <w:rFonts w:ascii="Times New Roman" w:hAnsi="Times New Roman" w:cs="Times New Roman"/>
          <w:b/>
          <w:sz w:val="18"/>
          <w:szCs w:val="18"/>
        </w:rPr>
      </w:pPr>
    </w:p>
    <w:p w14:paraId="7A243A6C" w14:textId="77777777" w:rsidR="008C645C" w:rsidRPr="008C645C" w:rsidRDefault="008C645C" w:rsidP="00FE37D3">
      <w:pPr>
        <w:numPr>
          <w:ilvl w:val="0"/>
          <w:numId w:val="7"/>
        </w:numPr>
        <w:spacing w:after="0"/>
        <w:ind w:left="567" w:hanging="567"/>
        <w:contextualSpacing/>
        <w:rPr>
          <w:rFonts w:ascii="Tw Cen MT Condensed" w:hAnsi="Tw Cen MT Condensed" w:cs="Times New Roman"/>
          <w:b/>
          <w:highlight w:val="lightGray"/>
        </w:rPr>
      </w:pPr>
      <w:r w:rsidRPr="008C645C">
        <w:rPr>
          <w:rFonts w:ascii="Tw Cen MT Condensed" w:hAnsi="Tw Cen MT Condensed" w:cs="Times New Roman"/>
          <w:b/>
          <w:highlight w:val="lightGray"/>
        </w:rPr>
        <w:t>Záver</w:t>
      </w:r>
    </w:p>
    <w:p w14:paraId="5AE242B6" w14:textId="77777777" w:rsidR="008C645C" w:rsidRPr="008C645C" w:rsidRDefault="008C645C" w:rsidP="008C645C">
      <w:pPr>
        <w:spacing w:after="0"/>
        <w:rPr>
          <w:rFonts w:ascii="Times New Roman" w:hAnsi="Times New Roman" w:cs="Times New Roman"/>
          <w:b/>
          <w:sz w:val="18"/>
          <w:szCs w:val="18"/>
        </w:rPr>
      </w:pPr>
    </w:p>
    <w:p w14:paraId="35261529" w14:textId="77777777" w:rsidR="008C645C" w:rsidRPr="008C645C" w:rsidRDefault="008C645C" w:rsidP="008C645C">
      <w:pPr>
        <w:spacing w:after="0"/>
        <w:ind w:firstLine="284"/>
        <w:contextualSpacing/>
        <w:jc w:val="both"/>
        <w:rPr>
          <w:rFonts w:cstheme="minorHAnsi"/>
          <w:sz w:val="20"/>
          <w:szCs w:val="20"/>
        </w:rPr>
      </w:pPr>
      <w:r w:rsidRPr="008C645C">
        <w:rPr>
          <w:rFonts w:cstheme="minorHAnsi"/>
          <w:sz w:val="20"/>
          <w:szCs w:val="20"/>
        </w:rPr>
        <w:t xml:space="preserve">Navrhovaná stavba pri dodržaní podmienok uvedených v tomto riešení protipožiarnej bezpečnosti stavby vyhovuje požiadavkám z hľadiska jej protipožiarnej bezpečnosti. Všetky zmeny v dispozičnom riešení, spôsobe užívania objektu alebo v druhu stavebných materiálov musia byť prehodnotené spracovateľom riešenia protipožiarnej bezpečnosti stavby, alebo iným špecialistom požiarnej ochrany. </w:t>
      </w:r>
    </w:p>
    <w:p w14:paraId="1106A5F5" w14:textId="77777777" w:rsidR="008C645C" w:rsidRPr="008C645C" w:rsidRDefault="008C645C" w:rsidP="008C645C">
      <w:pPr>
        <w:spacing w:after="0"/>
        <w:ind w:firstLine="284"/>
        <w:jc w:val="both"/>
        <w:rPr>
          <w:rFonts w:cstheme="minorHAnsi"/>
          <w:sz w:val="20"/>
          <w:szCs w:val="20"/>
        </w:rPr>
      </w:pPr>
      <w:r w:rsidRPr="008C645C">
        <w:rPr>
          <w:rFonts w:cstheme="minorHAnsi"/>
          <w:sz w:val="20"/>
          <w:szCs w:val="20"/>
        </w:rPr>
        <w:t xml:space="preserve">Zabudované stavebné konštrukcie a stavebné výrobky musia spĺňať kritéria uvedené v správe. Zhotoviteľ, ktorý zhotoví, resp. zabuduje do stavby požiarne konštrukcie, musí osvedčiť ich vlastnosti písomnou formou. </w:t>
      </w:r>
    </w:p>
    <w:p w14:paraId="4719563C" w14:textId="77777777" w:rsidR="008C645C" w:rsidRPr="008C645C" w:rsidRDefault="008C645C" w:rsidP="008C645C">
      <w:pPr>
        <w:spacing w:after="0"/>
        <w:ind w:firstLine="284"/>
        <w:jc w:val="both"/>
        <w:rPr>
          <w:rFonts w:cstheme="minorHAnsi"/>
          <w:sz w:val="20"/>
          <w:szCs w:val="20"/>
        </w:rPr>
      </w:pPr>
      <w:r w:rsidRPr="008C645C">
        <w:rPr>
          <w:rFonts w:cstheme="minorHAnsi"/>
          <w:sz w:val="20"/>
          <w:szCs w:val="20"/>
        </w:rPr>
        <w:t>Upozorňujem investora predmetnej stavby, že orgán vykonávajúci štátny požiarny dozor môže pri kolaudačnom konaní požadovať certifikáty preukázania zhody požiarno-technických charakteristík (tj. skutočnej požiarnej odolnosti, skutočnej horľavosti, skutočného indexu šírenia plameňa, výdatnosť požiarnych hydrantov, atď.) všetkých stavebných konštrukcií a stavebných výrobkov zabudovaných v predmetnej stavbe objektu (tj. murovaných, železobetónových, oceľových, drevených ako aj ostatných stavebných konštrukcií, výrobkov a materiálov), a to v súlade so zákonom SNR č. 90/1998 Z.z. o stavebných výrobkoch.</w:t>
      </w:r>
    </w:p>
    <w:p w14:paraId="320E1869" w14:textId="77777777" w:rsidR="008C645C" w:rsidRPr="008C645C" w:rsidRDefault="008C645C" w:rsidP="008C645C">
      <w:pPr>
        <w:spacing w:after="0"/>
        <w:rPr>
          <w:rFonts w:ascii="Times New Roman" w:hAnsi="Times New Roman" w:cs="Times New Roman"/>
          <w:sz w:val="18"/>
          <w:szCs w:val="18"/>
        </w:rPr>
      </w:pPr>
    </w:p>
    <w:p w14:paraId="61CB3B1A" w14:textId="77777777" w:rsidR="008C645C" w:rsidRPr="008C645C" w:rsidRDefault="008C645C" w:rsidP="00FE37D3">
      <w:pPr>
        <w:numPr>
          <w:ilvl w:val="0"/>
          <w:numId w:val="7"/>
        </w:numPr>
        <w:spacing w:after="0"/>
        <w:ind w:left="567" w:hanging="567"/>
        <w:contextualSpacing/>
        <w:jc w:val="both"/>
        <w:rPr>
          <w:rFonts w:ascii="Tw Cen MT Condensed" w:hAnsi="Tw Cen MT Condensed" w:cs="Times New Roman"/>
          <w:b/>
          <w:highlight w:val="lightGray"/>
        </w:rPr>
      </w:pPr>
      <w:r w:rsidRPr="008C645C">
        <w:rPr>
          <w:rFonts w:ascii="Tw Cen MT Condensed" w:hAnsi="Tw Cen MT Condensed" w:cs="Times New Roman"/>
          <w:b/>
          <w:highlight w:val="lightGray"/>
        </w:rPr>
        <w:t>Použité právne predpisy a normy</w:t>
      </w:r>
    </w:p>
    <w:p w14:paraId="4CA72ECF" w14:textId="77777777" w:rsidR="008C645C" w:rsidRPr="008C645C" w:rsidRDefault="008C645C" w:rsidP="008C645C">
      <w:pPr>
        <w:spacing w:after="0"/>
        <w:jc w:val="both"/>
        <w:rPr>
          <w:rFonts w:ascii="Times New Roman" w:eastAsia="MS Mincho" w:hAnsi="Times New Roman" w:cs="Times New Roman"/>
        </w:rPr>
      </w:pPr>
    </w:p>
    <w:p w14:paraId="44BB9749" w14:textId="77777777" w:rsidR="008C645C" w:rsidRPr="008C645C" w:rsidRDefault="008C645C" w:rsidP="008C645C">
      <w:pPr>
        <w:spacing w:after="0"/>
        <w:jc w:val="both"/>
        <w:rPr>
          <w:rFonts w:cstheme="minorHAnsi"/>
          <w:sz w:val="20"/>
          <w:szCs w:val="20"/>
        </w:rPr>
      </w:pPr>
      <w:r w:rsidRPr="008C645C">
        <w:rPr>
          <w:rFonts w:cstheme="minorHAnsi"/>
          <w:b/>
          <w:sz w:val="20"/>
          <w:szCs w:val="20"/>
        </w:rPr>
        <w:t>STN 92 0201-1</w:t>
      </w:r>
      <w:r w:rsidRPr="008C645C">
        <w:rPr>
          <w:rFonts w:cstheme="minorHAnsi"/>
          <w:sz w:val="20"/>
          <w:szCs w:val="20"/>
        </w:rPr>
        <w:t>, Požiarna bezpečnosť stavieb. Spoločné ustanovenia. Požiarne riziko, veľkosť požiarneho úseku.</w:t>
      </w:r>
    </w:p>
    <w:p w14:paraId="6BA7AE6C" w14:textId="77777777" w:rsidR="008C645C" w:rsidRPr="008C645C" w:rsidRDefault="008C645C" w:rsidP="008C645C">
      <w:pPr>
        <w:spacing w:after="0"/>
        <w:jc w:val="both"/>
        <w:rPr>
          <w:rFonts w:cstheme="minorHAnsi"/>
          <w:sz w:val="20"/>
          <w:szCs w:val="20"/>
        </w:rPr>
      </w:pPr>
      <w:r w:rsidRPr="008C645C">
        <w:rPr>
          <w:rFonts w:cstheme="minorHAnsi"/>
          <w:b/>
          <w:sz w:val="20"/>
          <w:szCs w:val="20"/>
        </w:rPr>
        <w:t>STN 92 0201-2</w:t>
      </w:r>
      <w:r w:rsidRPr="008C645C">
        <w:rPr>
          <w:rFonts w:cstheme="minorHAnsi"/>
          <w:sz w:val="20"/>
          <w:szCs w:val="20"/>
        </w:rPr>
        <w:t>, Požiarna bezpečnosť stavieb. Stavebné konštrukcie.</w:t>
      </w:r>
    </w:p>
    <w:p w14:paraId="1ADB5C73" w14:textId="77777777" w:rsidR="008C645C" w:rsidRPr="008C645C" w:rsidRDefault="008C645C" w:rsidP="008C645C">
      <w:pPr>
        <w:spacing w:after="0"/>
        <w:jc w:val="both"/>
        <w:rPr>
          <w:rFonts w:cstheme="minorHAnsi"/>
          <w:sz w:val="20"/>
          <w:szCs w:val="20"/>
        </w:rPr>
      </w:pPr>
      <w:r w:rsidRPr="008C645C">
        <w:rPr>
          <w:rFonts w:cstheme="minorHAnsi"/>
          <w:b/>
          <w:sz w:val="20"/>
          <w:szCs w:val="20"/>
        </w:rPr>
        <w:t>STN 92 0201-3</w:t>
      </w:r>
      <w:r w:rsidRPr="008C645C">
        <w:rPr>
          <w:rFonts w:cstheme="minorHAnsi"/>
          <w:sz w:val="20"/>
          <w:szCs w:val="20"/>
        </w:rPr>
        <w:t>, Požiarna bezpečnosť stavieb. Únikové cesty a evakuácia osôb.</w:t>
      </w:r>
    </w:p>
    <w:p w14:paraId="6C765AF3" w14:textId="77777777" w:rsidR="008C645C" w:rsidRPr="008C645C" w:rsidRDefault="008C645C" w:rsidP="008C645C">
      <w:pPr>
        <w:spacing w:after="0"/>
        <w:jc w:val="both"/>
        <w:rPr>
          <w:rFonts w:cstheme="minorHAnsi"/>
          <w:sz w:val="20"/>
          <w:szCs w:val="20"/>
        </w:rPr>
      </w:pPr>
      <w:r w:rsidRPr="008C645C">
        <w:rPr>
          <w:rFonts w:cstheme="minorHAnsi"/>
          <w:b/>
          <w:sz w:val="20"/>
          <w:szCs w:val="20"/>
        </w:rPr>
        <w:t>STN 92 0201-4</w:t>
      </w:r>
      <w:r w:rsidRPr="008C645C">
        <w:rPr>
          <w:rFonts w:cstheme="minorHAnsi"/>
          <w:sz w:val="20"/>
          <w:szCs w:val="20"/>
        </w:rPr>
        <w:t>, Požiarna bezpečnosť stavieb. Odstupové vzdialenosti.</w:t>
      </w:r>
    </w:p>
    <w:p w14:paraId="138C1ECE" w14:textId="77777777" w:rsidR="008C645C" w:rsidRPr="008C645C" w:rsidRDefault="008C645C" w:rsidP="008C645C">
      <w:pPr>
        <w:spacing w:after="0"/>
        <w:jc w:val="both"/>
        <w:rPr>
          <w:rFonts w:cstheme="minorHAnsi"/>
          <w:sz w:val="20"/>
          <w:szCs w:val="20"/>
        </w:rPr>
      </w:pPr>
      <w:r w:rsidRPr="008C645C">
        <w:rPr>
          <w:rFonts w:cstheme="minorHAnsi"/>
          <w:b/>
          <w:sz w:val="20"/>
          <w:szCs w:val="20"/>
        </w:rPr>
        <w:t>STN 92 0202-1,</w:t>
      </w:r>
      <w:r w:rsidRPr="008C645C">
        <w:rPr>
          <w:rFonts w:cstheme="minorHAnsi"/>
          <w:sz w:val="20"/>
          <w:szCs w:val="20"/>
        </w:rPr>
        <w:t xml:space="preserve"> Požiarna bezpečnosť stavieb. Vybavovanie stavieb hasiacimi prístrojmi.</w:t>
      </w:r>
    </w:p>
    <w:p w14:paraId="01868880" w14:textId="77777777" w:rsidR="008C645C" w:rsidRPr="008C645C" w:rsidRDefault="008C645C" w:rsidP="008C645C">
      <w:pPr>
        <w:spacing w:after="0"/>
        <w:jc w:val="both"/>
        <w:rPr>
          <w:rFonts w:cstheme="minorHAnsi"/>
          <w:sz w:val="20"/>
          <w:szCs w:val="20"/>
        </w:rPr>
      </w:pPr>
      <w:r w:rsidRPr="008C645C">
        <w:rPr>
          <w:rFonts w:cstheme="minorHAnsi"/>
          <w:b/>
          <w:sz w:val="20"/>
          <w:szCs w:val="20"/>
        </w:rPr>
        <w:t>STN 92 0241 (STN 73 0818),</w:t>
      </w:r>
      <w:r w:rsidRPr="008C645C">
        <w:rPr>
          <w:rFonts w:cstheme="minorHAnsi"/>
          <w:sz w:val="20"/>
          <w:szCs w:val="20"/>
        </w:rPr>
        <w:t xml:space="preserve"> Požiarna bezpečnosť stavieb. Obsadenie objektu osobami.</w:t>
      </w:r>
    </w:p>
    <w:p w14:paraId="212F4ACD" w14:textId="77777777" w:rsidR="008C645C" w:rsidRPr="008C645C" w:rsidRDefault="008C645C" w:rsidP="008C645C">
      <w:pPr>
        <w:spacing w:after="0"/>
        <w:jc w:val="both"/>
        <w:rPr>
          <w:rFonts w:cstheme="minorHAnsi"/>
          <w:sz w:val="20"/>
          <w:szCs w:val="20"/>
        </w:rPr>
      </w:pPr>
      <w:r w:rsidRPr="008C645C">
        <w:rPr>
          <w:rFonts w:cstheme="minorHAnsi"/>
          <w:b/>
          <w:sz w:val="20"/>
          <w:szCs w:val="20"/>
        </w:rPr>
        <w:t xml:space="preserve">STN 92 0400, </w:t>
      </w:r>
      <w:r w:rsidRPr="008C645C">
        <w:rPr>
          <w:rFonts w:cstheme="minorHAnsi"/>
          <w:sz w:val="20"/>
          <w:szCs w:val="20"/>
        </w:rPr>
        <w:t>Požiarna bezpečnosť stavieb. Zásobovanie vodou na hasenie požiarov.</w:t>
      </w:r>
    </w:p>
    <w:p w14:paraId="2E556C12" w14:textId="77777777" w:rsidR="008C645C" w:rsidRPr="008C645C" w:rsidRDefault="008C645C" w:rsidP="008C645C">
      <w:pPr>
        <w:spacing w:after="0"/>
        <w:jc w:val="both"/>
        <w:rPr>
          <w:rFonts w:cstheme="minorHAnsi"/>
          <w:b/>
          <w:sz w:val="20"/>
          <w:szCs w:val="20"/>
        </w:rPr>
      </w:pPr>
      <w:r w:rsidRPr="008C645C">
        <w:rPr>
          <w:rFonts w:cstheme="minorHAnsi"/>
          <w:b/>
          <w:sz w:val="20"/>
          <w:szCs w:val="20"/>
        </w:rPr>
        <w:t xml:space="preserve">STN 92 0111, </w:t>
      </w:r>
      <w:r w:rsidRPr="008C645C">
        <w:rPr>
          <w:rFonts w:cstheme="minorHAnsi"/>
          <w:bCs/>
          <w:sz w:val="20"/>
          <w:szCs w:val="20"/>
        </w:rPr>
        <w:t>Protipožiarne zariadenia, grafické značky pre výkresy požiarnej ochrany</w:t>
      </w:r>
    </w:p>
    <w:p w14:paraId="1E1FCC77" w14:textId="77777777" w:rsidR="008C645C" w:rsidRPr="008C645C" w:rsidRDefault="008C645C" w:rsidP="008C645C">
      <w:pPr>
        <w:spacing w:after="0"/>
        <w:jc w:val="both"/>
        <w:rPr>
          <w:rFonts w:cstheme="minorHAnsi"/>
          <w:sz w:val="20"/>
          <w:szCs w:val="20"/>
        </w:rPr>
      </w:pPr>
      <w:r w:rsidRPr="008C645C">
        <w:rPr>
          <w:rFonts w:cstheme="minorHAnsi"/>
          <w:b/>
          <w:sz w:val="20"/>
          <w:szCs w:val="20"/>
        </w:rPr>
        <w:t xml:space="preserve">STN 73 0834, </w:t>
      </w:r>
      <w:r w:rsidRPr="008C645C">
        <w:rPr>
          <w:rFonts w:cstheme="minorHAnsi"/>
          <w:sz w:val="20"/>
          <w:szCs w:val="20"/>
        </w:rPr>
        <w:t>Požiarna bezpečnosť stavieb. Zmeny stavieb.</w:t>
      </w:r>
    </w:p>
    <w:p w14:paraId="44F3ABDD" w14:textId="77777777" w:rsidR="008C645C" w:rsidRPr="008C645C" w:rsidRDefault="008C645C" w:rsidP="008C645C">
      <w:pPr>
        <w:spacing w:after="0"/>
        <w:jc w:val="both"/>
        <w:rPr>
          <w:rFonts w:cstheme="minorHAnsi"/>
          <w:sz w:val="20"/>
          <w:szCs w:val="20"/>
        </w:rPr>
      </w:pPr>
      <w:r w:rsidRPr="008C645C">
        <w:rPr>
          <w:rFonts w:cstheme="minorHAnsi"/>
          <w:b/>
          <w:sz w:val="20"/>
          <w:szCs w:val="20"/>
        </w:rPr>
        <w:t xml:space="preserve">STN 73 0821, </w:t>
      </w:r>
      <w:r w:rsidRPr="008C645C">
        <w:rPr>
          <w:rFonts w:cstheme="minorHAnsi"/>
          <w:sz w:val="20"/>
          <w:szCs w:val="20"/>
        </w:rPr>
        <w:t>Požiarna bezpečnosť stavieb. Požiarna odolnosť stavebných konštrukcií.</w:t>
      </w:r>
    </w:p>
    <w:p w14:paraId="53150913" w14:textId="77777777" w:rsidR="008C645C" w:rsidRPr="008C645C" w:rsidRDefault="008C645C" w:rsidP="008C645C">
      <w:pPr>
        <w:spacing w:after="0"/>
        <w:jc w:val="both"/>
        <w:rPr>
          <w:rFonts w:cstheme="minorHAnsi"/>
          <w:b/>
          <w:sz w:val="20"/>
          <w:szCs w:val="20"/>
        </w:rPr>
      </w:pPr>
      <w:r w:rsidRPr="008C645C">
        <w:rPr>
          <w:rFonts w:cstheme="minorHAnsi"/>
          <w:b/>
          <w:sz w:val="20"/>
          <w:szCs w:val="20"/>
        </w:rPr>
        <w:t xml:space="preserve">STN EN 1992-1-2, </w:t>
      </w:r>
      <w:r w:rsidRPr="008C645C">
        <w:rPr>
          <w:rFonts w:cstheme="minorHAnsi"/>
          <w:sz w:val="20"/>
          <w:szCs w:val="20"/>
        </w:rPr>
        <w:t>Navrhovanie betónových konštrukcií.</w:t>
      </w:r>
      <w:r w:rsidRPr="008C645C">
        <w:rPr>
          <w:rFonts w:cstheme="minorHAnsi"/>
          <w:b/>
          <w:sz w:val="20"/>
          <w:szCs w:val="20"/>
        </w:rPr>
        <w:t xml:space="preserve"> </w:t>
      </w:r>
    </w:p>
    <w:p w14:paraId="690A0081" w14:textId="77777777" w:rsidR="008C645C" w:rsidRPr="008C645C" w:rsidRDefault="008C645C" w:rsidP="008C645C">
      <w:pPr>
        <w:spacing w:after="0"/>
        <w:contextualSpacing/>
        <w:jc w:val="both"/>
        <w:rPr>
          <w:rFonts w:cstheme="minorHAnsi"/>
          <w:b/>
          <w:sz w:val="20"/>
          <w:szCs w:val="20"/>
        </w:rPr>
      </w:pPr>
      <w:r w:rsidRPr="008C645C">
        <w:rPr>
          <w:rFonts w:cstheme="minorHAnsi"/>
          <w:b/>
          <w:sz w:val="20"/>
          <w:szCs w:val="20"/>
        </w:rPr>
        <w:t xml:space="preserve"> STN EN 13501-1, </w:t>
      </w:r>
      <w:r w:rsidRPr="008C645C">
        <w:rPr>
          <w:rFonts w:cstheme="minorHAnsi"/>
          <w:sz w:val="20"/>
          <w:szCs w:val="20"/>
        </w:rPr>
        <w:t>Klasifikácia požiarnych charakteristík stavebných výrobkov a prvkov stavieb</w:t>
      </w:r>
      <w:r w:rsidRPr="008C645C">
        <w:rPr>
          <w:rFonts w:cstheme="minorHAnsi"/>
          <w:b/>
          <w:sz w:val="20"/>
          <w:szCs w:val="20"/>
        </w:rPr>
        <w:t xml:space="preserve"> </w:t>
      </w:r>
    </w:p>
    <w:p w14:paraId="3FC25691" w14:textId="77777777" w:rsidR="008C645C" w:rsidRPr="008C645C" w:rsidRDefault="008C645C" w:rsidP="008C645C">
      <w:pPr>
        <w:spacing w:after="0"/>
        <w:contextualSpacing/>
        <w:jc w:val="both"/>
        <w:rPr>
          <w:rFonts w:cstheme="minorHAnsi"/>
          <w:sz w:val="20"/>
          <w:szCs w:val="20"/>
        </w:rPr>
      </w:pPr>
      <w:r w:rsidRPr="008C645C">
        <w:rPr>
          <w:rFonts w:cstheme="minorHAnsi"/>
          <w:b/>
          <w:sz w:val="20"/>
          <w:szCs w:val="20"/>
        </w:rPr>
        <w:t xml:space="preserve"> Zákon č. 314/2001 Z. z.,</w:t>
      </w:r>
      <w:r w:rsidRPr="008C645C">
        <w:rPr>
          <w:rFonts w:cstheme="minorHAnsi"/>
          <w:sz w:val="20"/>
          <w:szCs w:val="20"/>
        </w:rPr>
        <w:t xml:space="preserve"> o ochrane pred požiarmi.</w:t>
      </w:r>
    </w:p>
    <w:p w14:paraId="1D7FBC43" w14:textId="77777777" w:rsidR="008C645C" w:rsidRPr="008C645C" w:rsidRDefault="008C645C" w:rsidP="008C645C">
      <w:pPr>
        <w:spacing w:after="0"/>
        <w:contextualSpacing/>
        <w:jc w:val="both"/>
        <w:rPr>
          <w:rFonts w:cstheme="minorHAnsi"/>
          <w:sz w:val="20"/>
          <w:szCs w:val="20"/>
        </w:rPr>
      </w:pPr>
      <w:r w:rsidRPr="008C645C">
        <w:rPr>
          <w:rFonts w:cstheme="minorHAnsi"/>
          <w:b/>
          <w:sz w:val="20"/>
          <w:szCs w:val="20"/>
        </w:rPr>
        <w:t>nariadenie vlády SR č. 387/2006 Z.z.,</w:t>
      </w:r>
      <w:r w:rsidRPr="008C645C">
        <w:rPr>
          <w:rFonts w:cstheme="minorHAnsi"/>
          <w:sz w:val="18"/>
        </w:rPr>
        <w:t xml:space="preserve"> </w:t>
      </w:r>
      <w:r w:rsidRPr="008C645C">
        <w:rPr>
          <w:rFonts w:cstheme="minorHAnsi"/>
          <w:sz w:val="20"/>
          <w:szCs w:val="20"/>
        </w:rPr>
        <w:t>o požiadavkách na zaistenie bezpečnostného a zdravotného označenia pri práci.</w:t>
      </w:r>
    </w:p>
    <w:p w14:paraId="48662A09" w14:textId="77777777" w:rsidR="008C645C" w:rsidRPr="008C645C" w:rsidRDefault="008C645C" w:rsidP="008C645C">
      <w:pPr>
        <w:spacing w:after="0"/>
        <w:contextualSpacing/>
        <w:jc w:val="both"/>
        <w:rPr>
          <w:rFonts w:cstheme="minorHAnsi"/>
          <w:sz w:val="20"/>
          <w:szCs w:val="20"/>
        </w:rPr>
      </w:pPr>
      <w:r w:rsidRPr="008C645C">
        <w:rPr>
          <w:rFonts w:cstheme="minorHAnsi"/>
          <w:b/>
          <w:sz w:val="20"/>
          <w:szCs w:val="20"/>
        </w:rPr>
        <w:t>vyhláška MV SR č. 94/2004 Z. z.,</w:t>
      </w:r>
      <w:r w:rsidRPr="008C645C">
        <w:rPr>
          <w:rFonts w:cstheme="minorHAnsi"/>
          <w:sz w:val="20"/>
          <w:szCs w:val="20"/>
        </w:rPr>
        <w:t xml:space="preserve"> ktorou sa ustanovujú technické požiadavky na protipožiarnu bezpečnosť pri výstavbe a pri užívaní stavieb.</w:t>
      </w:r>
    </w:p>
    <w:p w14:paraId="126770FE" w14:textId="77777777" w:rsidR="008C645C" w:rsidRPr="008C645C" w:rsidRDefault="008C645C" w:rsidP="008C645C">
      <w:pPr>
        <w:spacing w:after="0"/>
        <w:contextualSpacing/>
        <w:jc w:val="both"/>
        <w:rPr>
          <w:rFonts w:cstheme="minorHAnsi"/>
          <w:sz w:val="20"/>
          <w:szCs w:val="20"/>
        </w:rPr>
      </w:pPr>
      <w:r w:rsidRPr="008C645C">
        <w:rPr>
          <w:rFonts w:cstheme="minorHAnsi"/>
          <w:b/>
          <w:sz w:val="20"/>
          <w:szCs w:val="20"/>
        </w:rPr>
        <w:t>vyhláška MV SR č. 401/2007 Z. z.,</w:t>
      </w:r>
      <w:r w:rsidRPr="008C645C">
        <w:rPr>
          <w:rFonts w:cstheme="minorHAnsi"/>
          <w:sz w:val="20"/>
          <w:szCs w:val="20"/>
        </w:rPr>
        <w:t xml:space="preserve"> vyhláška Ministerstva vnútra Slovenskej republiky o technických podmienkach a požiadavkách na protipožiarnu bezpečnosť pri inštalácii a prevádzkovaní palivového spotrebiča, elektrotepelného spotrebiča a zariadenia ústredného vykurovania a pri výstavbe a používaní komína a dymovodu a o lehotách ich čistenia a vykonávania kontrol.</w:t>
      </w:r>
    </w:p>
    <w:p w14:paraId="25666BF5" w14:textId="77777777" w:rsidR="008C645C" w:rsidRPr="008C645C" w:rsidRDefault="008C645C" w:rsidP="008C645C">
      <w:pPr>
        <w:autoSpaceDE w:val="0"/>
        <w:autoSpaceDN w:val="0"/>
        <w:adjustRightInd w:val="0"/>
        <w:spacing w:after="0" w:line="240" w:lineRule="auto"/>
        <w:jc w:val="both"/>
        <w:rPr>
          <w:rFonts w:cstheme="minorHAnsi"/>
          <w:sz w:val="20"/>
          <w:szCs w:val="20"/>
        </w:rPr>
      </w:pPr>
      <w:r w:rsidRPr="008C645C">
        <w:rPr>
          <w:rFonts w:cstheme="minorHAnsi"/>
          <w:b/>
          <w:sz w:val="20"/>
          <w:szCs w:val="20"/>
        </w:rPr>
        <w:lastRenderedPageBreak/>
        <w:t>vyhláška MV SR č. 478/2008 Z. z.,</w:t>
      </w:r>
      <w:r w:rsidRPr="008C645C">
        <w:rPr>
          <w:rFonts w:cstheme="minorHAnsi"/>
          <w:sz w:val="20"/>
          <w:szCs w:val="20"/>
        </w:rPr>
        <w:t xml:space="preserve"> o vlastnostiach, konkrétnych podmienkach prevádzkovania a zabezpečenia pravidelnej kontroly požiarneho uzáveru.</w:t>
      </w:r>
    </w:p>
    <w:p w14:paraId="65486BDF" w14:textId="77777777" w:rsidR="008C645C" w:rsidRPr="008C645C" w:rsidRDefault="008C645C" w:rsidP="008C645C">
      <w:pPr>
        <w:spacing w:after="0"/>
        <w:jc w:val="both"/>
        <w:rPr>
          <w:rFonts w:cstheme="minorHAnsi"/>
          <w:sz w:val="20"/>
          <w:szCs w:val="20"/>
        </w:rPr>
      </w:pPr>
      <w:r w:rsidRPr="008C645C">
        <w:rPr>
          <w:rFonts w:cstheme="minorHAnsi"/>
          <w:b/>
          <w:sz w:val="20"/>
          <w:szCs w:val="20"/>
        </w:rPr>
        <w:t>vyhláška MV SR č. 699/2004 Z. z.,</w:t>
      </w:r>
      <w:r w:rsidRPr="008C645C">
        <w:rPr>
          <w:rFonts w:cstheme="minorHAnsi"/>
          <w:sz w:val="20"/>
          <w:szCs w:val="20"/>
        </w:rPr>
        <w:t xml:space="preserve"> o zabezpečení stavieb vodou na hasenie požiarov.</w:t>
      </w:r>
    </w:p>
    <w:p w14:paraId="4C87C8DB" w14:textId="60CCC7BB" w:rsidR="00E34077" w:rsidRPr="00B86B20" w:rsidRDefault="008C645C" w:rsidP="00B86B20">
      <w:pPr>
        <w:spacing w:after="0"/>
        <w:contextualSpacing/>
        <w:jc w:val="both"/>
        <w:rPr>
          <w:rFonts w:cstheme="minorHAnsi"/>
          <w:b/>
          <w:sz w:val="20"/>
          <w:szCs w:val="20"/>
        </w:rPr>
      </w:pPr>
      <w:r w:rsidRPr="008C645C">
        <w:rPr>
          <w:rFonts w:cstheme="minorHAnsi"/>
          <w:b/>
          <w:sz w:val="20"/>
          <w:szCs w:val="20"/>
        </w:rPr>
        <w:t xml:space="preserve">vyhláška MV SR č. 719/2002 Z.z., </w:t>
      </w:r>
      <w:r w:rsidRPr="008C645C">
        <w:rPr>
          <w:rFonts w:cstheme="minorHAnsi"/>
          <w:sz w:val="20"/>
          <w:szCs w:val="20"/>
        </w:rPr>
        <w:t>ktorou sa ustanovujú vlastnosti prenosných hasiacich prístrojov a podmienky ich prevádzkovania a zabezpečovania pravidelnej kontroly.</w:t>
      </w:r>
    </w:p>
    <w:p w14:paraId="793F6E1A" w14:textId="77777777" w:rsidR="00B86B20" w:rsidRDefault="00B86B20" w:rsidP="00B86B20">
      <w:pPr>
        <w:spacing w:after="0"/>
        <w:jc w:val="both"/>
        <w:rPr>
          <w:rFonts w:cstheme="minorHAnsi"/>
          <w:b/>
          <w:sz w:val="20"/>
          <w:szCs w:val="20"/>
        </w:rPr>
      </w:pPr>
    </w:p>
    <w:p w14:paraId="4C87C90C" w14:textId="2431634F" w:rsidR="00CC73E4" w:rsidRPr="00B86B20" w:rsidRDefault="00B86B20" w:rsidP="00B86B20">
      <w:pPr>
        <w:spacing w:after="0"/>
        <w:jc w:val="both"/>
        <w:rPr>
          <w:rFonts w:cstheme="minorHAnsi"/>
          <w:b/>
          <w:sz w:val="20"/>
          <w:szCs w:val="20"/>
        </w:rPr>
      </w:pPr>
      <w:r w:rsidRPr="00B86B20">
        <w:rPr>
          <w:rFonts w:cstheme="minorHAnsi"/>
          <w:b/>
          <w:sz w:val="20"/>
          <w:szCs w:val="20"/>
        </w:rPr>
        <w:t>Zoznam príloh</w:t>
      </w:r>
      <w:r>
        <w:rPr>
          <w:rFonts w:cstheme="minorHAnsi"/>
          <w:b/>
          <w:sz w:val="20"/>
          <w:szCs w:val="20"/>
        </w:rPr>
        <w:t xml:space="preserve">           </w:t>
      </w:r>
      <w:r w:rsidR="003A1847" w:rsidRPr="00B86B20">
        <w:rPr>
          <w:rFonts w:cstheme="minorHAnsi"/>
          <w:b/>
          <w:sz w:val="20"/>
          <w:szCs w:val="20"/>
        </w:rPr>
        <w:t xml:space="preserve">Príloha č. 1 </w:t>
      </w:r>
      <w:r w:rsidR="00F80709" w:rsidRPr="00B86B20">
        <w:rPr>
          <w:rFonts w:cstheme="minorHAnsi"/>
          <w:b/>
          <w:sz w:val="20"/>
          <w:szCs w:val="20"/>
        </w:rPr>
        <w:t>–</w:t>
      </w:r>
      <w:r w:rsidR="003A1847" w:rsidRPr="00B86B20">
        <w:rPr>
          <w:rFonts w:cstheme="minorHAnsi"/>
          <w:b/>
          <w:sz w:val="20"/>
          <w:szCs w:val="20"/>
        </w:rPr>
        <w:t xml:space="preserve"> </w:t>
      </w:r>
      <w:r w:rsidR="000F3D08" w:rsidRPr="00B86B20">
        <w:rPr>
          <w:rFonts w:cstheme="minorHAnsi"/>
          <w:b/>
          <w:sz w:val="20"/>
          <w:szCs w:val="20"/>
        </w:rPr>
        <w:t>Výpočtová časť</w:t>
      </w:r>
    </w:p>
    <w:p w14:paraId="4C87C910" w14:textId="61FF1BDA" w:rsidR="00CC73E4" w:rsidRPr="00B86B20" w:rsidRDefault="00B86B20" w:rsidP="00B86B20">
      <w:pPr>
        <w:spacing w:after="0"/>
        <w:ind w:firstLine="708"/>
        <w:jc w:val="both"/>
        <w:rPr>
          <w:rFonts w:cstheme="minorHAnsi"/>
          <w:b/>
          <w:sz w:val="20"/>
          <w:szCs w:val="20"/>
        </w:rPr>
      </w:pPr>
      <w:r>
        <w:rPr>
          <w:rFonts w:cstheme="minorHAnsi"/>
          <w:b/>
          <w:sz w:val="20"/>
          <w:szCs w:val="20"/>
        </w:rPr>
        <w:t xml:space="preserve">                      </w:t>
      </w:r>
      <w:r w:rsidR="003A1847" w:rsidRPr="00B86B20">
        <w:rPr>
          <w:rFonts w:cstheme="minorHAnsi"/>
          <w:b/>
          <w:sz w:val="20"/>
          <w:szCs w:val="20"/>
        </w:rPr>
        <w:t xml:space="preserve">Príloha č. 2 - </w:t>
      </w:r>
      <w:r w:rsidR="00CC73E4" w:rsidRPr="00B86B20">
        <w:rPr>
          <w:rFonts w:cstheme="minorHAnsi"/>
          <w:b/>
          <w:sz w:val="20"/>
          <w:szCs w:val="20"/>
        </w:rPr>
        <w:t xml:space="preserve">Výkresová </w:t>
      </w:r>
      <w:r w:rsidR="000F3D08" w:rsidRPr="00B86B20">
        <w:rPr>
          <w:rFonts w:cstheme="minorHAnsi"/>
          <w:b/>
          <w:sz w:val="20"/>
          <w:szCs w:val="20"/>
        </w:rPr>
        <w:t>časť</w:t>
      </w:r>
    </w:p>
    <w:p w14:paraId="4C87C912" w14:textId="77777777" w:rsidR="00CC73E4" w:rsidRPr="00B86B20" w:rsidRDefault="00F630E4" w:rsidP="00B86B20">
      <w:pPr>
        <w:spacing w:after="0" w:line="240" w:lineRule="auto"/>
        <w:ind w:left="2124" w:firstLine="708"/>
        <w:jc w:val="both"/>
        <w:rPr>
          <w:rFonts w:cstheme="minorHAnsi"/>
          <w:sz w:val="20"/>
          <w:szCs w:val="20"/>
        </w:rPr>
      </w:pPr>
      <w:r w:rsidRPr="00B86B20">
        <w:rPr>
          <w:rFonts w:cstheme="minorHAnsi"/>
          <w:sz w:val="20"/>
          <w:szCs w:val="20"/>
        </w:rPr>
        <w:t>PO</w:t>
      </w:r>
      <w:r w:rsidR="00114B25" w:rsidRPr="00B86B20">
        <w:rPr>
          <w:rFonts w:cstheme="minorHAnsi"/>
          <w:sz w:val="20"/>
          <w:szCs w:val="20"/>
        </w:rPr>
        <w:t xml:space="preserve"> – 01 </w:t>
      </w:r>
      <w:r w:rsidR="00CC73E4" w:rsidRPr="00B86B20">
        <w:rPr>
          <w:rFonts w:cstheme="minorHAnsi"/>
          <w:sz w:val="20"/>
          <w:szCs w:val="20"/>
        </w:rPr>
        <w:t>Situácia v M 1:</w:t>
      </w:r>
      <w:r w:rsidR="001B72D3" w:rsidRPr="00B86B20">
        <w:rPr>
          <w:rFonts w:cstheme="minorHAnsi"/>
          <w:sz w:val="20"/>
          <w:szCs w:val="20"/>
        </w:rPr>
        <w:t>6</w:t>
      </w:r>
      <w:r w:rsidR="002B4DF8" w:rsidRPr="00B86B20">
        <w:rPr>
          <w:rFonts w:cstheme="minorHAnsi"/>
          <w:sz w:val="20"/>
          <w:szCs w:val="20"/>
        </w:rPr>
        <w:t>0</w:t>
      </w:r>
      <w:r w:rsidR="003A1847" w:rsidRPr="00B86B20">
        <w:rPr>
          <w:rFonts w:cstheme="minorHAnsi"/>
          <w:sz w:val="20"/>
          <w:szCs w:val="20"/>
        </w:rPr>
        <w:t>0</w:t>
      </w:r>
    </w:p>
    <w:p w14:paraId="4C87C913" w14:textId="1EC207AE" w:rsidR="00CC73E4" w:rsidRPr="00CD2A61" w:rsidRDefault="00F630E4" w:rsidP="00B86B20">
      <w:pPr>
        <w:pStyle w:val="Listaszerbekezds"/>
        <w:spacing w:after="0" w:line="240" w:lineRule="auto"/>
        <w:ind w:left="2832"/>
        <w:jc w:val="both"/>
        <w:rPr>
          <w:rFonts w:cstheme="minorHAnsi"/>
          <w:sz w:val="20"/>
          <w:szCs w:val="20"/>
        </w:rPr>
      </w:pPr>
      <w:bookmarkStart w:id="11" w:name="_Hlk74732797"/>
      <w:r w:rsidRPr="00CD2A61">
        <w:rPr>
          <w:rFonts w:cstheme="minorHAnsi"/>
          <w:sz w:val="20"/>
          <w:szCs w:val="20"/>
        </w:rPr>
        <w:t>PO</w:t>
      </w:r>
      <w:r w:rsidR="00114B25" w:rsidRPr="00CD2A61">
        <w:rPr>
          <w:rFonts w:cstheme="minorHAnsi"/>
          <w:sz w:val="20"/>
          <w:szCs w:val="20"/>
        </w:rPr>
        <w:t xml:space="preserve"> – 02 </w:t>
      </w:r>
      <w:r w:rsidR="00187789" w:rsidRPr="00CD2A61">
        <w:rPr>
          <w:rFonts w:cstheme="minorHAnsi"/>
          <w:sz w:val="20"/>
          <w:szCs w:val="20"/>
        </w:rPr>
        <w:t>PÔDORYS NA KÓTE ±0,000</w:t>
      </w:r>
      <w:r w:rsidR="002B4DF8" w:rsidRPr="00CD2A61">
        <w:rPr>
          <w:rFonts w:cstheme="minorHAnsi"/>
          <w:sz w:val="20"/>
          <w:szCs w:val="20"/>
        </w:rPr>
        <w:t xml:space="preserve"> </w:t>
      </w:r>
      <w:r w:rsidR="00CC73E4" w:rsidRPr="00CD2A61">
        <w:rPr>
          <w:rFonts w:cstheme="minorHAnsi"/>
          <w:sz w:val="20"/>
          <w:szCs w:val="20"/>
        </w:rPr>
        <w:t>v M 1:</w:t>
      </w:r>
      <w:r w:rsidR="00187789" w:rsidRPr="00CD2A61">
        <w:rPr>
          <w:rFonts w:cstheme="minorHAnsi"/>
          <w:sz w:val="20"/>
          <w:szCs w:val="20"/>
        </w:rPr>
        <w:t>15</w:t>
      </w:r>
      <w:r w:rsidR="00CC73E4" w:rsidRPr="00CD2A61">
        <w:rPr>
          <w:rFonts w:cstheme="minorHAnsi"/>
          <w:sz w:val="20"/>
          <w:szCs w:val="20"/>
        </w:rPr>
        <w:t>0</w:t>
      </w:r>
    </w:p>
    <w:bookmarkEnd w:id="11"/>
    <w:p w14:paraId="4C87C91C" w14:textId="4BB4D119" w:rsidR="000B2B5E" w:rsidRPr="00CD2A61" w:rsidRDefault="00136415" w:rsidP="00B86B20">
      <w:pPr>
        <w:pStyle w:val="Listaszerbekezds"/>
        <w:spacing w:after="0" w:line="240" w:lineRule="auto"/>
        <w:ind w:left="2124" w:firstLine="708"/>
        <w:jc w:val="both"/>
        <w:rPr>
          <w:rFonts w:cstheme="minorHAnsi"/>
          <w:sz w:val="20"/>
          <w:szCs w:val="20"/>
        </w:rPr>
      </w:pPr>
      <w:r w:rsidRPr="00CD2A61">
        <w:rPr>
          <w:rFonts w:cstheme="minorHAnsi"/>
          <w:sz w:val="20"/>
          <w:szCs w:val="20"/>
        </w:rPr>
        <w:t>PO – 0</w:t>
      </w:r>
      <w:r w:rsidR="00B86B20">
        <w:rPr>
          <w:rFonts w:cstheme="minorHAnsi"/>
          <w:sz w:val="20"/>
          <w:szCs w:val="20"/>
        </w:rPr>
        <w:t>3</w:t>
      </w:r>
      <w:r w:rsidRPr="00CD2A61">
        <w:rPr>
          <w:rFonts w:cstheme="minorHAnsi"/>
          <w:sz w:val="20"/>
          <w:szCs w:val="20"/>
        </w:rPr>
        <w:t xml:space="preserve"> Rez v M 1:</w:t>
      </w:r>
      <w:r w:rsidR="00187789" w:rsidRPr="00CD2A61">
        <w:rPr>
          <w:rFonts w:cstheme="minorHAnsi"/>
          <w:sz w:val="20"/>
          <w:szCs w:val="20"/>
        </w:rPr>
        <w:t>1</w:t>
      </w:r>
      <w:r w:rsidRPr="00CD2A61">
        <w:rPr>
          <w:rFonts w:cstheme="minorHAnsi"/>
          <w:sz w:val="20"/>
          <w:szCs w:val="20"/>
        </w:rPr>
        <w:t>0</w:t>
      </w:r>
      <w:bookmarkEnd w:id="6"/>
      <w:r w:rsidR="00B86B20">
        <w:rPr>
          <w:rFonts w:cstheme="minorHAnsi"/>
          <w:sz w:val="20"/>
          <w:szCs w:val="20"/>
        </w:rPr>
        <w:t>0</w:t>
      </w:r>
    </w:p>
    <w:sectPr w:rsidR="000B2B5E" w:rsidRPr="00CD2A61" w:rsidSect="008F16E3">
      <w:headerReference w:type="default" r:id="rId8"/>
      <w:footerReference w:type="default" r:id="rId9"/>
      <w:type w:val="continuous"/>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9B266" w14:textId="77777777" w:rsidR="007323F1" w:rsidRDefault="007323F1" w:rsidP="004F07B9">
      <w:pPr>
        <w:spacing w:after="0" w:line="240" w:lineRule="auto"/>
      </w:pPr>
      <w:r>
        <w:separator/>
      </w:r>
    </w:p>
  </w:endnote>
  <w:endnote w:type="continuationSeparator" w:id="0">
    <w:p w14:paraId="744C5BE3" w14:textId="77777777" w:rsidR="007323F1" w:rsidRDefault="007323F1" w:rsidP="004F0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w Cen MT Condensed">
    <w:panose1 w:val="020B0606020104020203"/>
    <w:charset w:val="EE"/>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7C929" w14:textId="730012A2" w:rsidR="00A25DE1" w:rsidRPr="00CA711A" w:rsidRDefault="00A25DE1">
    <w:pPr>
      <w:pStyle w:val="llb"/>
      <w:rPr>
        <w:rFonts w:ascii="Times New Roman" w:hAnsi="Times New Roman" w:cs="Times New Roman"/>
        <w:sz w:val="20"/>
        <w:szCs w:val="20"/>
      </w:rPr>
    </w:pPr>
    <w:r w:rsidRPr="00CA711A">
      <w:rPr>
        <w:rFonts w:ascii="Times New Roman" w:hAnsi="Times New Roman" w:cs="Times New Roman"/>
        <w:sz w:val="20"/>
        <w:szCs w:val="20"/>
      </w:rPr>
      <w:ptab w:relativeTo="margin" w:alignment="center" w:leader="none"/>
    </w:r>
    <w:r w:rsidRPr="00CA711A">
      <w:rPr>
        <w:rFonts w:ascii="Times New Roman" w:eastAsiaTheme="majorEastAsia" w:hAnsi="Times New Roman" w:cs="Times New Roman"/>
        <w:b/>
        <w:sz w:val="20"/>
        <w:szCs w:val="20"/>
      </w:rPr>
      <w:fldChar w:fldCharType="begin"/>
    </w:r>
    <w:r w:rsidRPr="00CA711A">
      <w:rPr>
        <w:rFonts w:ascii="Times New Roman" w:eastAsiaTheme="majorEastAsia" w:hAnsi="Times New Roman" w:cs="Times New Roman"/>
        <w:b/>
        <w:sz w:val="20"/>
        <w:szCs w:val="20"/>
      </w:rPr>
      <w:instrText xml:space="preserve"> PAGE  \* Arabic </w:instrText>
    </w:r>
    <w:r w:rsidRPr="00CA711A">
      <w:rPr>
        <w:rFonts w:ascii="Times New Roman" w:eastAsiaTheme="majorEastAsia" w:hAnsi="Times New Roman" w:cs="Times New Roman"/>
        <w:b/>
        <w:sz w:val="20"/>
        <w:szCs w:val="20"/>
      </w:rPr>
      <w:fldChar w:fldCharType="separate"/>
    </w:r>
    <w:r>
      <w:rPr>
        <w:rFonts w:ascii="Times New Roman" w:eastAsiaTheme="majorEastAsia" w:hAnsi="Times New Roman" w:cs="Times New Roman"/>
        <w:b/>
        <w:noProof/>
        <w:sz w:val="20"/>
        <w:szCs w:val="20"/>
      </w:rPr>
      <w:t>4</w:t>
    </w:r>
    <w:r w:rsidRPr="00CA711A">
      <w:rPr>
        <w:rFonts w:ascii="Times New Roman" w:eastAsiaTheme="majorEastAsia" w:hAnsi="Times New Roman" w:cs="Times New Roman"/>
        <w:b/>
        <w:sz w:val="20"/>
        <w:szCs w:val="20"/>
      </w:rPr>
      <w:fldChar w:fldCharType="end"/>
    </w:r>
    <w:r w:rsidRPr="00CA711A">
      <w:rPr>
        <w:rFonts w:ascii="Times New Roman" w:hAnsi="Times New Roman" w:cs="Times New Roman"/>
        <w:sz w:val="20"/>
        <w:szCs w:val="20"/>
      </w:rPr>
      <w:ptab w:relativeTo="margin" w:alignment="right" w:leader="none"/>
    </w:r>
    <w:r w:rsidRPr="00CA711A">
      <w:rPr>
        <w:rFonts w:ascii="Times New Roman" w:hAnsi="Times New Roman" w:cs="Times New Roman"/>
        <w:b/>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61140" w14:textId="77777777" w:rsidR="007323F1" w:rsidRDefault="007323F1" w:rsidP="004F07B9">
      <w:pPr>
        <w:spacing w:after="0" w:line="240" w:lineRule="auto"/>
      </w:pPr>
      <w:r>
        <w:separator/>
      </w:r>
    </w:p>
  </w:footnote>
  <w:footnote w:type="continuationSeparator" w:id="0">
    <w:p w14:paraId="201AA08C" w14:textId="77777777" w:rsidR="007323F1" w:rsidRDefault="007323F1" w:rsidP="004F07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7C928" w14:textId="76AD7FC3" w:rsidR="00A25DE1" w:rsidRPr="009A4E82" w:rsidRDefault="00A25DE1" w:rsidP="00113733">
    <w:pPr>
      <w:pStyle w:val="lfej"/>
      <w:tabs>
        <w:tab w:val="clear" w:pos="9072"/>
        <w:tab w:val="right" w:pos="9639"/>
      </w:tabs>
      <w:ind w:right="-576"/>
      <w:jc w:val="center"/>
    </w:pPr>
    <w:r w:rsidRPr="0037684F">
      <w:rPr>
        <w:rFonts w:ascii="Tw Cen MT Condensed" w:eastAsiaTheme="majorEastAsia" w:hAnsi="Tw Cen MT Condensed" w:cs="Times New Roman"/>
        <w:b/>
        <w:noProof/>
        <w:w w:val="90"/>
        <w:sz w:val="24"/>
        <w:szCs w:val="24"/>
        <w:u w:val="double"/>
      </w:rPr>
      <w:t xml:space="preserve">SKLADOVÁ HALA, </w:t>
    </w:r>
    <w:r w:rsidRPr="00113733">
      <w:rPr>
        <w:rFonts w:ascii="Tw Cen MT Condensed" w:eastAsiaTheme="majorEastAsia" w:hAnsi="Tw Cen MT Condensed" w:cs="Times New Roman"/>
        <w:b/>
        <w:noProof/>
        <w:w w:val="90"/>
        <w:sz w:val="24"/>
        <w:szCs w:val="24"/>
        <w:u w:val="double"/>
      </w:rPr>
      <w:t>VITA - ZEL &amp; COMPANY, SPOL. S R.O, NOVÁ 1473,  946 32 MARCELOVÁ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25EDE30"/>
    <w:lvl w:ilvl="0">
      <w:start w:val="1"/>
      <w:numFmt w:val="none"/>
      <w:suff w:val="nothing"/>
      <w:lvlText w:val=""/>
      <w:lvlJc w:val="left"/>
      <w:pPr>
        <w:ind w:left="4962" w:firstLine="0"/>
      </w:pPr>
      <w:rPr>
        <w:rFonts w:hint="default"/>
      </w:rPr>
    </w:lvl>
    <w:lvl w:ilvl="1">
      <w:start w:val="1"/>
      <w:numFmt w:val="none"/>
      <w:suff w:val="nothing"/>
      <w:lvlText w:val=""/>
      <w:lvlJc w:val="left"/>
      <w:pPr>
        <w:ind w:left="4962" w:firstLine="0"/>
      </w:pPr>
      <w:rPr>
        <w:rFonts w:hint="default"/>
      </w:rPr>
    </w:lvl>
    <w:lvl w:ilvl="2">
      <w:start w:val="6"/>
      <w:numFmt w:val="upperRoman"/>
      <w:lvlText w:val="%3."/>
      <w:lvlJc w:val="right"/>
      <w:pPr>
        <w:tabs>
          <w:tab w:val="num" w:pos="4962"/>
        </w:tabs>
        <w:ind w:left="4962" w:firstLine="0"/>
      </w:pPr>
      <w:rPr>
        <w:rFonts w:hint="default"/>
        <w:sz w:val="22"/>
        <w:szCs w:val="22"/>
      </w:rPr>
    </w:lvl>
    <w:lvl w:ilvl="3">
      <w:start w:val="1"/>
      <w:numFmt w:val="none"/>
      <w:suff w:val="nothing"/>
      <w:lvlText w:val=""/>
      <w:lvlJc w:val="left"/>
      <w:pPr>
        <w:ind w:left="4962" w:firstLine="0"/>
      </w:pPr>
      <w:rPr>
        <w:rFonts w:hint="default"/>
      </w:rPr>
    </w:lvl>
    <w:lvl w:ilvl="4">
      <w:start w:val="1"/>
      <w:numFmt w:val="none"/>
      <w:suff w:val="nothing"/>
      <w:lvlText w:val=""/>
      <w:lvlJc w:val="left"/>
      <w:pPr>
        <w:ind w:left="4962" w:firstLine="0"/>
      </w:pPr>
      <w:rPr>
        <w:rFonts w:hint="default"/>
      </w:rPr>
    </w:lvl>
    <w:lvl w:ilvl="5">
      <w:start w:val="1"/>
      <w:numFmt w:val="none"/>
      <w:suff w:val="nothing"/>
      <w:lvlText w:val=""/>
      <w:lvlJc w:val="left"/>
      <w:pPr>
        <w:ind w:left="4962" w:firstLine="0"/>
      </w:pPr>
      <w:rPr>
        <w:rFonts w:hint="default"/>
      </w:rPr>
    </w:lvl>
    <w:lvl w:ilvl="6">
      <w:start w:val="1"/>
      <w:numFmt w:val="none"/>
      <w:suff w:val="nothing"/>
      <w:lvlText w:val=""/>
      <w:lvlJc w:val="left"/>
      <w:pPr>
        <w:ind w:left="4962" w:firstLine="0"/>
      </w:pPr>
      <w:rPr>
        <w:rFonts w:hint="default"/>
      </w:rPr>
    </w:lvl>
    <w:lvl w:ilvl="7">
      <w:start w:val="1"/>
      <w:numFmt w:val="none"/>
      <w:suff w:val="nothing"/>
      <w:lvlText w:val=""/>
      <w:lvlJc w:val="left"/>
      <w:pPr>
        <w:ind w:left="4962" w:firstLine="0"/>
      </w:pPr>
      <w:rPr>
        <w:rFonts w:hint="default"/>
      </w:rPr>
    </w:lvl>
    <w:lvl w:ilvl="8">
      <w:start w:val="1"/>
      <w:numFmt w:val="none"/>
      <w:suff w:val="nothing"/>
      <w:lvlText w:val=""/>
      <w:lvlJc w:val="left"/>
      <w:pPr>
        <w:ind w:left="4962" w:firstLine="0"/>
      </w:pPr>
      <w:rPr>
        <w:rFonts w:hint="default"/>
      </w:rPr>
    </w:lvl>
  </w:abstractNum>
  <w:abstractNum w:abstractNumId="1" w15:restartNumberingAfterBreak="0">
    <w:nsid w:val="18412779"/>
    <w:multiLevelType w:val="hybridMultilevel"/>
    <w:tmpl w:val="1E8674AE"/>
    <w:lvl w:ilvl="0" w:tplc="041B000F">
      <w:start w:val="1"/>
      <w:numFmt w:val="decimal"/>
      <w:lvlText w:val="%1."/>
      <w:lvlJc w:val="left"/>
      <w:pPr>
        <w:ind w:left="2160" w:hanging="360"/>
      </w:p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2" w15:restartNumberingAfterBreak="0">
    <w:nsid w:val="31A704E4"/>
    <w:multiLevelType w:val="hybridMultilevel"/>
    <w:tmpl w:val="A8E85BF8"/>
    <w:lvl w:ilvl="0" w:tplc="47142B3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4D3524D"/>
    <w:multiLevelType w:val="hybridMultilevel"/>
    <w:tmpl w:val="44166924"/>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 w15:restartNumberingAfterBreak="0">
    <w:nsid w:val="42DF346E"/>
    <w:multiLevelType w:val="hybridMultilevel"/>
    <w:tmpl w:val="BEA2F9C8"/>
    <w:lvl w:ilvl="0" w:tplc="16D2E5E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CF4789A"/>
    <w:multiLevelType w:val="hybridMultilevel"/>
    <w:tmpl w:val="176E287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575F2FEF"/>
    <w:multiLevelType w:val="hybridMultilevel"/>
    <w:tmpl w:val="0582A01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15D6542"/>
    <w:multiLevelType w:val="hybridMultilevel"/>
    <w:tmpl w:val="B106B3AA"/>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64032643"/>
    <w:multiLevelType w:val="multilevel"/>
    <w:tmpl w:val="041B001F"/>
    <w:lvl w:ilvl="0">
      <w:start w:val="1"/>
      <w:numFmt w:val="decimal"/>
      <w:lvlText w:val="%1."/>
      <w:lvlJc w:val="left"/>
      <w:pPr>
        <w:ind w:left="360" w:hanging="360"/>
      </w:pPr>
    </w:lvl>
    <w:lvl w:ilvl="1">
      <w:start w:val="1"/>
      <w:numFmt w:val="decimal"/>
      <w:lvlText w:val="%1.%2."/>
      <w:lvlJc w:val="left"/>
      <w:pPr>
        <w:ind w:left="567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E67595"/>
    <w:multiLevelType w:val="multilevel"/>
    <w:tmpl w:val="041B001F"/>
    <w:lvl w:ilvl="0">
      <w:start w:val="1"/>
      <w:numFmt w:val="decimal"/>
      <w:lvlText w:val="%1."/>
      <w:lvlJc w:val="left"/>
      <w:pPr>
        <w:ind w:left="360" w:hanging="360"/>
      </w:pPr>
    </w:lvl>
    <w:lvl w:ilvl="1">
      <w:start w:val="1"/>
      <w:numFmt w:val="decimal"/>
      <w:lvlText w:val="%1.%2."/>
      <w:lvlJc w:val="left"/>
      <w:pPr>
        <w:ind w:left="567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E1C71F7"/>
    <w:multiLevelType w:val="multilevel"/>
    <w:tmpl w:val="041B001F"/>
    <w:lvl w:ilvl="0">
      <w:start w:val="1"/>
      <w:numFmt w:val="decimal"/>
      <w:lvlText w:val="%1."/>
      <w:lvlJc w:val="left"/>
      <w:pPr>
        <w:ind w:left="360" w:hanging="360"/>
      </w:pPr>
    </w:lvl>
    <w:lvl w:ilvl="1">
      <w:start w:val="1"/>
      <w:numFmt w:val="decimal"/>
      <w:lvlText w:val="%1.%2."/>
      <w:lvlJc w:val="left"/>
      <w:pPr>
        <w:ind w:left="567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7"/>
  </w:num>
  <w:num w:numId="3">
    <w:abstractNumId w:val="1"/>
  </w:num>
  <w:num w:numId="4">
    <w:abstractNumId w:val="5"/>
  </w:num>
  <w:num w:numId="5">
    <w:abstractNumId w:val="3"/>
  </w:num>
  <w:num w:numId="6">
    <w:abstractNumId w:val="2"/>
  </w:num>
  <w:num w:numId="7">
    <w:abstractNumId w:val="9"/>
  </w:num>
  <w:num w:numId="8">
    <w:abstractNumId w:val="4"/>
  </w:num>
  <w:num w:numId="9">
    <w:abstractNumId w:val="8"/>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US" w:vendorID="64" w:dllVersion="0" w:nlCheck="1" w:checkStyle="0"/>
  <w:activeWritingStyle w:appName="MSWord" w:lang="hu-HU" w:vendorID="64" w:dllVersion="0" w:nlCheck="1" w:checkStyle="0"/>
  <w:activeWritingStyle w:appName="MSWord" w:lang="en-US" w:vendorID="64" w:dllVersion="4096" w:nlCheck="1" w:checkStyle="0"/>
  <w:activeWritingStyle w:appName="MSWord" w:lang="hu-HU" w:vendorID="64" w:dllVersion="4096"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7B9"/>
    <w:rsid w:val="00000B0E"/>
    <w:rsid w:val="00004AF1"/>
    <w:rsid w:val="00006FB4"/>
    <w:rsid w:val="000075B7"/>
    <w:rsid w:val="000078EE"/>
    <w:rsid w:val="00012C37"/>
    <w:rsid w:val="00032EF5"/>
    <w:rsid w:val="000346EF"/>
    <w:rsid w:val="00043733"/>
    <w:rsid w:val="00043FC5"/>
    <w:rsid w:val="00053DA7"/>
    <w:rsid w:val="00061DB7"/>
    <w:rsid w:val="00062DE1"/>
    <w:rsid w:val="0006423C"/>
    <w:rsid w:val="00065BAC"/>
    <w:rsid w:val="00071709"/>
    <w:rsid w:val="0007399B"/>
    <w:rsid w:val="000770A3"/>
    <w:rsid w:val="00096EBC"/>
    <w:rsid w:val="000A3008"/>
    <w:rsid w:val="000A744B"/>
    <w:rsid w:val="000B2B5E"/>
    <w:rsid w:val="000B430F"/>
    <w:rsid w:val="000B4687"/>
    <w:rsid w:val="000C159E"/>
    <w:rsid w:val="000C2C53"/>
    <w:rsid w:val="000D1E15"/>
    <w:rsid w:val="000D41CF"/>
    <w:rsid w:val="000D5232"/>
    <w:rsid w:val="000D66C1"/>
    <w:rsid w:val="000E056C"/>
    <w:rsid w:val="000E05FB"/>
    <w:rsid w:val="000E294E"/>
    <w:rsid w:val="000E473B"/>
    <w:rsid w:val="000E7612"/>
    <w:rsid w:val="000F0F43"/>
    <w:rsid w:val="000F3D08"/>
    <w:rsid w:val="000F636F"/>
    <w:rsid w:val="000F63CA"/>
    <w:rsid w:val="000F7558"/>
    <w:rsid w:val="00101B94"/>
    <w:rsid w:val="00102D1B"/>
    <w:rsid w:val="00105827"/>
    <w:rsid w:val="00106E7E"/>
    <w:rsid w:val="00113733"/>
    <w:rsid w:val="00114B25"/>
    <w:rsid w:val="001177C1"/>
    <w:rsid w:val="00122741"/>
    <w:rsid w:val="001243A3"/>
    <w:rsid w:val="00124D20"/>
    <w:rsid w:val="00126ECD"/>
    <w:rsid w:val="00136415"/>
    <w:rsid w:val="00137C71"/>
    <w:rsid w:val="00142E8C"/>
    <w:rsid w:val="0014692C"/>
    <w:rsid w:val="001516BD"/>
    <w:rsid w:val="001541E3"/>
    <w:rsid w:val="001549B1"/>
    <w:rsid w:val="00154B9F"/>
    <w:rsid w:val="00155162"/>
    <w:rsid w:val="00167896"/>
    <w:rsid w:val="00181C4A"/>
    <w:rsid w:val="0018374E"/>
    <w:rsid w:val="00187789"/>
    <w:rsid w:val="00196F64"/>
    <w:rsid w:val="001B2DF8"/>
    <w:rsid w:val="001B72D3"/>
    <w:rsid w:val="001B746F"/>
    <w:rsid w:val="001C1284"/>
    <w:rsid w:val="001D0BC7"/>
    <w:rsid w:val="001E20D9"/>
    <w:rsid w:val="001E5887"/>
    <w:rsid w:val="00204D05"/>
    <w:rsid w:val="00210135"/>
    <w:rsid w:val="002139D2"/>
    <w:rsid w:val="0022004C"/>
    <w:rsid w:val="00222FBC"/>
    <w:rsid w:val="00227011"/>
    <w:rsid w:val="002273AA"/>
    <w:rsid w:val="00233797"/>
    <w:rsid w:val="0023490D"/>
    <w:rsid w:val="0023584B"/>
    <w:rsid w:val="00236C88"/>
    <w:rsid w:val="0024505F"/>
    <w:rsid w:val="00246123"/>
    <w:rsid w:val="002571DB"/>
    <w:rsid w:val="00261CA7"/>
    <w:rsid w:val="00264828"/>
    <w:rsid w:val="00280E1E"/>
    <w:rsid w:val="0028541B"/>
    <w:rsid w:val="002872EB"/>
    <w:rsid w:val="0029070F"/>
    <w:rsid w:val="002A1D6E"/>
    <w:rsid w:val="002A1D72"/>
    <w:rsid w:val="002A3588"/>
    <w:rsid w:val="002A4D34"/>
    <w:rsid w:val="002A5E36"/>
    <w:rsid w:val="002A64FC"/>
    <w:rsid w:val="002A7C91"/>
    <w:rsid w:val="002B3A32"/>
    <w:rsid w:val="002B49ED"/>
    <w:rsid w:val="002B4DF8"/>
    <w:rsid w:val="002B533A"/>
    <w:rsid w:val="002C3318"/>
    <w:rsid w:val="002D6701"/>
    <w:rsid w:val="002E0619"/>
    <w:rsid w:val="002E08E5"/>
    <w:rsid w:val="002E2454"/>
    <w:rsid w:val="002F17EF"/>
    <w:rsid w:val="0030136B"/>
    <w:rsid w:val="00322A9D"/>
    <w:rsid w:val="00322D23"/>
    <w:rsid w:val="00324CA1"/>
    <w:rsid w:val="003275A2"/>
    <w:rsid w:val="00333CE0"/>
    <w:rsid w:val="003416FE"/>
    <w:rsid w:val="003423CB"/>
    <w:rsid w:val="003433EB"/>
    <w:rsid w:val="00345C43"/>
    <w:rsid w:val="00346200"/>
    <w:rsid w:val="00346C15"/>
    <w:rsid w:val="00353EBD"/>
    <w:rsid w:val="0035582D"/>
    <w:rsid w:val="00362E98"/>
    <w:rsid w:val="003651E3"/>
    <w:rsid w:val="003706A2"/>
    <w:rsid w:val="00375341"/>
    <w:rsid w:val="0037684F"/>
    <w:rsid w:val="00377CED"/>
    <w:rsid w:val="00381D08"/>
    <w:rsid w:val="00382779"/>
    <w:rsid w:val="00393128"/>
    <w:rsid w:val="0039345A"/>
    <w:rsid w:val="0039524A"/>
    <w:rsid w:val="00395F1B"/>
    <w:rsid w:val="003A1847"/>
    <w:rsid w:val="003A5D93"/>
    <w:rsid w:val="003A60A4"/>
    <w:rsid w:val="003B0353"/>
    <w:rsid w:val="003B11CE"/>
    <w:rsid w:val="003B4CE9"/>
    <w:rsid w:val="003B5F0C"/>
    <w:rsid w:val="003B757D"/>
    <w:rsid w:val="003C324E"/>
    <w:rsid w:val="003D0502"/>
    <w:rsid w:val="003D465D"/>
    <w:rsid w:val="003D6B91"/>
    <w:rsid w:val="003D749D"/>
    <w:rsid w:val="003E35D9"/>
    <w:rsid w:val="003F353A"/>
    <w:rsid w:val="004004CF"/>
    <w:rsid w:val="00404781"/>
    <w:rsid w:val="00404E10"/>
    <w:rsid w:val="00411AB7"/>
    <w:rsid w:val="004210C8"/>
    <w:rsid w:val="0042793D"/>
    <w:rsid w:val="0043572E"/>
    <w:rsid w:val="00435F13"/>
    <w:rsid w:val="00444F06"/>
    <w:rsid w:val="004457AB"/>
    <w:rsid w:val="00447641"/>
    <w:rsid w:val="004478C7"/>
    <w:rsid w:val="004510F7"/>
    <w:rsid w:val="00451421"/>
    <w:rsid w:val="00454C3E"/>
    <w:rsid w:val="00456253"/>
    <w:rsid w:val="00470FF2"/>
    <w:rsid w:val="00480095"/>
    <w:rsid w:val="00480E73"/>
    <w:rsid w:val="0048735B"/>
    <w:rsid w:val="00487364"/>
    <w:rsid w:val="00493780"/>
    <w:rsid w:val="0049724E"/>
    <w:rsid w:val="00497F12"/>
    <w:rsid w:val="004A61F1"/>
    <w:rsid w:val="004B192E"/>
    <w:rsid w:val="004B48D1"/>
    <w:rsid w:val="004C05C1"/>
    <w:rsid w:val="004C2CCB"/>
    <w:rsid w:val="004C459E"/>
    <w:rsid w:val="004C777F"/>
    <w:rsid w:val="004D2C9C"/>
    <w:rsid w:val="004D6495"/>
    <w:rsid w:val="004E601B"/>
    <w:rsid w:val="004E6269"/>
    <w:rsid w:val="004F07B9"/>
    <w:rsid w:val="004F0F14"/>
    <w:rsid w:val="004F3754"/>
    <w:rsid w:val="004F6214"/>
    <w:rsid w:val="00502FC4"/>
    <w:rsid w:val="005166FC"/>
    <w:rsid w:val="00516D14"/>
    <w:rsid w:val="0052736A"/>
    <w:rsid w:val="00531CE9"/>
    <w:rsid w:val="00534174"/>
    <w:rsid w:val="00534B2B"/>
    <w:rsid w:val="00536C1A"/>
    <w:rsid w:val="00541977"/>
    <w:rsid w:val="00543A22"/>
    <w:rsid w:val="005466ED"/>
    <w:rsid w:val="005467FE"/>
    <w:rsid w:val="0055606B"/>
    <w:rsid w:val="00566145"/>
    <w:rsid w:val="005664D1"/>
    <w:rsid w:val="0057114A"/>
    <w:rsid w:val="00583FC1"/>
    <w:rsid w:val="00584761"/>
    <w:rsid w:val="005A1440"/>
    <w:rsid w:val="005A6AA9"/>
    <w:rsid w:val="005A7898"/>
    <w:rsid w:val="005C2C59"/>
    <w:rsid w:val="005C4474"/>
    <w:rsid w:val="005C76F6"/>
    <w:rsid w:val="005D0011"/>
    <w:rsid w:val="005D1D57"/>
    <w:rsid w:val="005F0D83"/>
    <w:rsid w:val="005F1132"/>
    <w:rsid w:val="005F2569"/>
    <w:rsid w:val="005F2617"/>
    <w:rsid w:val="005F5111"/>
    <w:rsid w:val="00600AF2"/>
    <w:rsid w:val="006070AE"/>
    <w:rsid w:val="00607129"/>
    <w:rsid w:val="0061738E"/>
    <w:rsid w:val="006235B8"/>
    <w:rsid w:val="00624315"/>
    <w:rsid w:val="00626CD5"/>
    <w:rsid w:val="006314AD"/>
    <w:rsid w:val="00637DB9"/>
    <w:rsid w:val="006432D8"/>
    <w:rsid w:val="0064623E"/>
    <w:rsid w:val="00646A0A"/>
    <w:rsid w:val="00646D30"/>
    <w:rsid w:val="006523D2"/>
    <w:rsid w:val="00653296"/>
    <w:rsid w:val="00653601"/>
    <w:rsid w:val="00653D1F"/>
    <w:rsid w:val="00654AA4"/>
    <w:rsid w:val="00655DB6"/>
    <w:rsid w:val="00656A92"/>
    <w:rsid w:val="00663DEC"/>
    <w:rsid w:val="00665640"/>
    <w:rsid w:val="00674052"/>
    <w:rsid w:val="006756D3"/>
    <w:rsid w:val="00681F31"/>
    <w:rsid w:val="00685251"/>
    <w:rsid w:val="006852D0"/>
    <w:rsid w:val="00692D93"/>
    <w:rsid w:val="00694B67"/>
    <w:rsid w:val="006A1947"/>
    <w:rsid w:val="006A508E"/>
    <w:rsid w:val="006B3EBB"/>
    <w:rsid w:val="006B767D"/>
    <w:rsid w:val="006B7D9F"/>
    <w:rsid w:val="006C5EFA"/>
    <w:rsid w:val="006C60F3"/>
    <w:rsid w:val="006D1226"/>
    <w:rsid w:val="006D3F89"/>
    <w:rsid w:val="006D5BE6"/>
    <w:rsid w:val="006D76F0"/>
    <w:rsid w:val="006E3311"/>
    <w:rsid w:val="006E42F4"/>
    <w:rsid w:val="006E52DF"/>
    <w:rsid w:val="006F27FB"/>
    <w:rsid w:val="00700850"/>
    <w:rsid w:val="00701ECD"/>
    <w:rsid w:val="00714B93"/>
    <w:rsid w:val="00715A41"/>
    <w:rsid w:val="0072638E"/>
    <w:rsid w:val="00731E65"/>
    <w:rsid w:val="007323F1"/>
    <w:rsid w:val="00737460"/>
    <w:rsid w:val="007413E6"/>
    <w:rsid w:val="00742089"/>
    <w:rsid w:val="0074229B"/>
    <w:rsid w:val="00745271"/>
    <w:rsid w:val="00746228"/>
    <w:rsid w:val="00750732"/>
    <w:rsid w:val="00752EE9"/>
    <w:rsid w:val="00754737"/>
    <w:rsid w:val="00755E10"/>
    <w:rsid w:val="00764D5C"/>
    <w:rsid w:val="00775763"/>
    <w:rsid w:val="007816B2"/>
    <w:rsid w:val="007858F2"/>
    <w:rsid w:val="00794EC7"/>
    <w:rsid w:val="007967F0"/>
    <w:rsid w:val="007A18D5"/>
    <w:rsid w:val="007A47FA"/>
    <w:rsid w:val="007A4BBA"/>
    <w:rsid w:val="007A7B86"/>
    <w:rsid w:val="007B0CA1"/>
    <w:rsid w:val="007B0DFC"/>
    <w:rsid w:val="007B1A10"/>
    <w:rsid w:val="007D02FF"/>
    <w:rsid w:val="007D2269"/>
    <w:rsid w:val="007D5CD8"/>
    <w:rsid w:val="007D7D9B"/>
    <w:rsid w:val="007E0501"/>
    <w:rsid w:val="007E2BFC"/>
    <w:rsid w:val="007E4299"/>
    <w:rsid w:val="007E46B9"/>
    <w:rsid w:val="007E4D51"/>
    <w:rsid w:val="007F3679"/>
    <w:rsid w:val="00807098"/>
    <w:rsid w:val="008501F6"/>
    <w:rsid w:val="00857A54"/>
    <w:rsid w:val="00861460"/>
    <w:rsid w:val="00865ADE"/>
    <w:rsid w:val="008679F3"/>
    <w:rsid w:val="00880049"/>
    <w:rsid w:val="008833B6"/>
    <w:rsid w:val="008869FA"/>
    <w:rsid w:val="00891194"/>
    <w:rsid w:val="0089288B"/>
    <w:rsid w:val="00894B50"/>
    <w:rsid w:val="008962D6"/>
    <w:rsid w:val="008A0CBA"/>
    <w:rsid w:val="008A4F5E"/>
    <w:rsid w:val="008A6E6C"/>
    <w:rsid w:val="008A756E"/>
    <w:rsid w:val="008B1964"/>
    <w:rsid w:val="008B382D"/>
    <w:rsid w:val="008B3D1B"/>
    <w:rsid w:val="008B58A4"/>
    <w:rsid w:val="008B5E81"/>
    <w:rsid w:val="008C3161"/>
    <w:rsid w:val="008C468E"/>
    <w:rsid w:val="008C645C"/>
    <w:rsid w:val="008C71C1"/>
    <w:rsid w:val="008C768D"/>
    <w:rsid w:val="008C7BE9"/>
    <w:rsid w:val="008D5BC6"/>
    <w:rsid w:val="008D7FC1"/>
    <w:rsid w:val="008E3A39"/>
    <w:rsid w:val="008E48CA"/>
    <w:rsid w:val="008F16E3"/>
    <w:rsid w:val="008F2653"/>
    <w:rsid w:val="008F54C6"/>
    <w:rsid w:val="008F5B6B"/>
    <w:rsid w:val="008F723D"/>
    <w:rsid w:val="00900C09"/>
    <w:rsid w:val="00900F50"/>
    <w:rsid w:val="009021DB"/>
    <w:rsid w:val="009061A7"/>
    <w:rsid w:val="00907F77"/>
    <w:rsid w:val="00912010"/>
    <w:rsid w:val="00912C63"/>
    <w:rsid w:val="00916567"/>
    <w:rsid w:val="00920C0B"/>
    <w:rsid w:val="00923AE6"/>
    <w:rsid w:val="00923CA5"/>
    <w:rsid w:val="009241D4"/>
    <w:rsid w:val="00925019"/>
    <w:rsid w:val="009308CD"/>
    <w:rsid w:val="009453E2"/>
    <w:rsid w:val="00946F91"/>
    <w:rsid w:val="009471C3"/>
    <w:rsid w:val="0095055D"/>
    <w:rsid w:val="00953333"/>
    <w:rsid w:val="00954AD8"/>
    <w:rsid w:val="00956C2C"/>
    <w:rsid w:val="00961432"/>
    <w:rsid w:val="00962715"/>
    <w:rsid w:val="00970DE0"/>
    <w:rsid w:val="00970F39"/>
    <w:rsid w:val="009729B5"/>
    <w:rsid w:val="0097542C"/>
    <w:rsid w:val="0098284A"/>
    <w:rsid w:val="009838FC"/>
    <w:rsid w:val="009964B0"/>
    <w:rsid w:val="00996F58"/>
    <w:rsid w:val="009A0144"/>
    <w:rsid w:val="009A4897"/>
    <w:rsid w:val="009A4E82"/>
    <w:rsid w:val="009B3ABC"/>
    <w:rsid w:val="009B528E"/>
    <w:rsid w:val="009B7E67"/>
    <w:rsid w:val="009C034E"/>
    <w:rsid w:val="009C7E3F"/>
    <w:rsid w:val="009D11DE"/>
    <w:rsid w:val="009D6AB8"/>
    <w:rsid w:val="009D6EE8"/>
    <w:rsid w:val="009F1EDB"/>
    <w:rsid w:val="00A13502"/>
    <w:rsid w:val="00A2356E"/>
    <w:rsid w:val="00A24E41"/>
    <w:rsid w:val="00A25DE1"/>
    <w:rsid w:val="00A26721"/>
    <w:rsid w:val="00A40021"/>
    <w:rsid w:val="00A41E47"/>
    <w:rsid w:val="00A54C63"/>
    <w:rsid w:val="00A80540"/>
    <w:rsid w:val="00A87B80"/>
    <w:rsid w:val="00A953E2"/>
    <w:rsid w:val="00A96379"/>
    <w:rsid w:val="00A963AA"/>
    <w:rsid w:val="00A96D4C"/>
    <w:rsid w:val="00AA3B62"/>
    <w:rsid w:val="00AB1D79"/>
    <w:rsid w:val="00AB3546"/>
    <w:rsid w:val="00AC0EB5"/>
    <w:rsid w:val="00AC134C"/>
    <w:rsid w:val="00AC16E2"/>
    <w:rsid w:val="00AC34DB"/>
    <w:rsid w:val="00AC6A14"/>
    <w:rsid w:val="00AD201D"/>
    <w:rsid w:val="00AD3234"/>
    <w:rsid w:val="00AD41EF"/>
    <w:rsid w:val="00AE1D4B"/>
    <w:rsid w:val="00AE46A5"/>
    <w:rsid w:val="00AE4BC5"/>
    <w:rsid w:val="00AF1864"/>
    <w:rsid w:val="00AF1E37"/>
    <w:rsid w:val="00AF42A5"/>
    <w:rsid w:val="00AF5C19"/>
    <w:rsid w:val="00B01302"/>
    <w:rsid w:val="00B10B4E"/>
    <w:rsid w:val="00B126FC"/>
    <w:rsid w:val="00B16991"/>
    <w:rsid w:val="00B17639"/>
    <w:rsid w:val="00B17E70"/>
    <w:rsid w:val="00B224A0"/>
    <w:rsid w:val="00B234BA"/>
    <w:rsid w:val="00B2358A"/>
    <w:rsid w:val="00B34A67"/>
    <w:rsid w:val="00B34C3B"/>
    <w:rsid w:val="00B35F3D"/>
    <w:rsid w:val="00B44BFA"/>
    <w:rsid w:val="00B463EC"/>
    <w:rsid w:val="00B47CE9"/>
    <w:rsid w:val="00B52662"/>
    <w:rsid w:val="00B53FD0"/>
    <w:rsid w:val="00B6433D"/>
    <w:rsid w:val="00B70796"/>
    <w:rsid w:val="00B7332F"/>
    <w:rsid w:val="00B740C5"/>
    <w:rsid w:val="00B74E18"/>
    <w:rsid w:val="00B766F9"/>
    <w:rsid w:val="00B8102E"/>
    <w:rsid w:val="00B817EC"/>
    <w:rsid w:val="00B81C71"/>
    <w:rsid w:val="00B85D6B"/>
    <w:rsid w:val="00B86B20"/>
    <w:rsid w:val="00B910FC"/>
    <w:rsid w:val="00BB09B3"/>
    <w:rsid w:val="00BB6639"/>
    <w:rsid w:val="00BD0F84"/>
    <w:rsid w:val="00BD79B3"/>
    <w:rsid w:val="00BE2AB3"/>
    <w:rsid w:val="00BE4D07"/>
    <w:rsid w:val="00BE55FD"/>
    <w:rsid w:val="00BE5A6B"/>
    <w:rsid w:val="00BE6802"/>
    <w:rsid w:val="00BE6EF4"/>
    <w:rsid w:val="00C00272"/>
    <w:rsid w:val="00C02B16"/>
    <w:rsid w:val="00C11765"/>
    <w:rsid w:val="00C1409F"/>
    <w:rsid w:val="00C15300"/>
    <w:rsid w:val="00C16E17"/>
    <w:rsid w:val="00C174A0"/>
    <w:rsid w:val="00C203D6"/>
    <w:rsid w:val="00C244B7"/>
    <w:rsid w:val="00C254D0"/>
    <w:rsid w:val="00C3029D"/>
    <w:rsid w:val="00C376C2"/>
    <w:rsid w:val="00C411BA"/>
    <w:rsid w:val="00C43059"/>
    <w:rsid w:val="00C4451D"/>
    <w:rsid w:val="00C5098D"/>
    <w:rsid w:val="00C61A87"/>
    <w:rsid w:val="00C66974"/>
    <w:rsid w:val="00C66F26"/>
    <w:rsid w:val="00C714D0"/>
    <w:rsid w:val="00C74956"/>
    <w:rsid w:val="00C86405"/>
    <w:rsid w:val="00C90826"/>
    <w:rsid w:val="00C93B4A"/>
    <w:rsid w:val="00C93C51"/>
    <w:rsid w:val="00CA06ED"/>
    <w:rsid w:val="00CA3458"/>
    <w:rsid w:val="00CA508E"/>
    <w:rsid w:val="00CA6B9F"/>
    <w:rsid w:val="00CA711A"/>
    <w:rsid w:val="00CB0A6D"/>
    <w:rsid w:val="00CB486F"/>
    <w:rsid w:val="00CB7DE0"/>
    <w:rsid w:val="00CC1AED"/>
    <w:rsid w:val="00CC3D9E"/>
    <w:rsid w:val="00CC73E4"/>
    <w:rsid w:val="00CD2A61"/>
    <w:rsid w:val="00CF61A7"/>
    <w:rsid w:val="00D0118B"/>
    <w:rsid w:val="00D02370"/>
    <w:rsid w:val="00D10CA8"/>
    <w:rsid w:val="00D235F1"/>
    <w:rsid w:val="00D24DB7"/>
    <w:rsid w:val="00D24E28"/>
    <w:rsid w:val="00D26EE1"/>
    <w:rsid w:val="00D3127D"/>
    <w:rsid w:val="00D32A99"/>
    <w:rsid w:val="00D335F8"/>
    <w:rsid w:val="00D33D94"/>
    <w:rsid w:val="00D34BA6"/>
    <w:rsid w:val="00D43829"/>
    <w:rsid w:val="00D509A7"/>
    <w:rsid w:val="00D51C0C"/>
    <w:rsid w:val="00D60B8F"/>
    <w:rsid w:val="00D62150"/>
    <w:rsid w:val="00D70EFB"/>
    <w:rsid w:val="00D71046"/>
    <w:rsid w:val="00D75268"/>
    <w:rsid w:val="00D762FA"/>
    <w:rsid w:val="00D82CA1"/>
    <w:rsid w:val="00D844B9"/>
    <w:rsid w:val="00D8765A"/>
    <w:rsid w:val="00D90F05"/>
    <w:rsid w:val="00DA24C1"/>
    <w:rsid w:val="00DA26CB"/>
    <w:rsid w:val="00DB2607"/>
    <w:rsid w:val="00DB697A"/>
    <w:rsid w:val="00DC0515"/>
    <w:rsid w:val="00DC3CD8"/>
    <w:rsid w:val="00DC6113"/>
    <w:rsid w:val="00DC6BFB"/>
    <w:rsid w:val="00DC7CE4"/>
    <w:rsid w:val="00DC7D80"/>
    <w:rsid w:val="00DD3732"/>
    <w:rsid w:val="00DD4641"/>
    <w:rsid w:val="00DD57D2"/>
    <w:rsid w:val="00DD64F9"/>
    <w:rsid w:val="00DD6635"/>
    <w:rsid w:val="00DE0B51"/>
    <w:rsid w:val="00DE695E"/>
    <w:rsid w:val="00DF2D25"/>
    <w:rsid w:val="00DF487F"/>
    <w:rsid w:val="00DF4E8A"/>
    <w:rsid w:val="00DF5A01"/>
    <w:rsid w:val="00E004F5"/>
    <w:rsid w:val="00E029C0"/>
    <w:rsid w:val="00E05121"/>
    <w:rsid w:val="00E20B55"/>
    <w:rsid w:val="00E23A27"/>
    <w:rsid w:val="00E23BEE"/>
    <w:rsid w:val="00E27681"/>
    <w:rsid w:val="00E31929"/>
    <w:rsid w:val="00E32A3A"/>
    <w:rsid w:val="00E34077"/>
    <w:rsid w:val="00E37FFA"/>
    <w:rsid w:val="00E44D66"/>
    <w:rsid w:val="00E51A11"/>
    <w:rsid w:val="00E577C8"/>
    <w:rsid w:val="00E6385B"/>
    <w:rsid w:val="00E63871"/>
    <w:rsid w:val="00E67034"/>
    <w:rsid w:val="00E7232E"/>
    <w:rsid w:val="00E83BAC"/>
    <w:rsid w:val="00E84487"/>
    <w:rsid w:val="00E8798D"/>
    <w:rsid w:val="00EA176E"/>
    <w:rsid w:val="00EB48E6"/>
    <w:rsid w:val="00EC2989"/>
    <w:rsid w:val="00ED617B"/>
    <w:rsid w:val="00EE2F47"/>
    <w:rsid w:val="00EE4F2C"/>
    <w:rsid w:val="00EE5CCC"/>
    <w:rsid w:val="00EE6002"/>
    <w:rsid w:val="00EE723A"/>
    <w:rsid w:val="00EF47D8"/>
    <w:rsid w:val="00EF6F0E"/>
    <w:rsid w:val="00EF7F6C"/>
    <w:rsid w:val="00F00D07"/>
    <w:rsid w:val="00F06ADB"/>
    <w:rsid w:val="00F122C1"/>
    <w:rsid w:val="00F32A6F"/>
    <w:rsid w:val="00F4118B"/>
    <w:rsid w:val="00F430AE"/>
    <w:rsid w:val="00F517A2"/>
    <w:rsid w:val="00F52A83"/>
    <w:rsid w:val="00F5362B"/>
    <w:rsid w:val="00F53BF1"/>
    <w:rsid w:val="00F55921"/>
    <w:rsid w:val="00F55BF5"/>
    <w:rsid w:val="00F56F87"/>
    <w:rsid w:val="00F630E4"/>
    <w:rsid w:val="00F76F4E"/>
    <w:rsid w:val="00F80709"/>
    <w:rsid w:val="00F91674"/>
    <w:rsid w:val="00F95F2B"/>
    <w:rsid w:val="00FA0F92"/>
    <w:rsid w:val="00FA383A"/>
    <w:rsid w:val="00FA3BF2"/>
    <w:rsid w:val="00FB17AE"/>
    <w:rsid w:val="00FB3DDD"/>
    <w:rsid w:val="00FB5B54"/>
    <w:rsid w:val="00FB7604"/>
    <w:rsid w:val="00FC0DE0"/>
    <w:rsid w:val="00FC673C"/>
    <w:rsid w:val="00FC7F45"/>
    <w:rsid w:val="00FD424E"/>
    <w:rsid w:val="00FD4E55"/>
    <w:rsid w:val="00FD5683"/>
    <w:rsid w:val="00FD5D82"/>
    <w:rsid w:val="00FD7647"/>
    <w:rsid w:val="00FE211C"/>
    <w:rsid w:val="00FE295F"/>
    <w:rsid w:val="00FE37D3"/>
    <w:rsid w:val="00FE592E"/>
    <w:rsid w:val="00FE6364"/>
    <w:rsid w:val="00FE7195"/>
    <w:rsid w:val="00FF3CF2"/>
    <w:rsid w:val="00FF464F"/>
    <w:rsid w:val="00FF4A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87C826"/>
  <w15:docId w15:val="{D284EB83-F001-4815-9D56-A6D3B234B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F7558"/>
  </w:style>
  <w:style w:type="paragraph" w:styleId="Cmsor1">
    <w:name w:val="heading 1"/>
    <w:basedOn w:val="Norml"/>
    <w:link w:val="Cmsor1Char"/>
    <w:uiPriority w:val="9"/>
    <w:qFormat/>
    <w:rsid w:val="00626C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4F07B9"/>
    <w:pPr>
      <w:tabs>
        <w:tab w:val="center" w:pos="4536"/>
        <w:tab w:val="right" w:pos="9072"/>
      </w:tabs>
      <w:spacing w:after="0" w:line="240" w:lineRule="auto"/>
    </w:pPr>
  </w:style>
  <w:style w:type="character" w:customStyle="1" w:styleId="lfejChar">
    <w:name w:val="Élőfej Char"/>
    <w:basedOn w:val="Bekezdsalapbettpusa"/>
    <w:link w:val="lfej"/>
    <w:rsid w:val="004F07B9"/>
  </w:style>
  <w:style w:type="paragraph" w:styleId="llb">
    <w:name w:val="footer"/>
    <w:basedOn w:val="Norml"/>
    <w:link w:val="llbChar"/>
    <w:uiPriority w:val="99"/>
    <w:unhideWhenUsed/>
    <w:rsid w:val="004F07B9"/>
    <w:pPr>
      <w:tabs>
        <w:tab w:val="center" w:pos="4536"/>
        <w:tab w:val="right" w:pos="9072"/>
      </w:tabs>
      <w:spacing w:after="0" w:line="240" w:lineRule="auto"/>
    </w:pPr>
  </w:style>
  <w:style w:type="character" w:customStyle="1" w:styleId="llbChar">
    <w:name w:val="Élőláb Char"/>
    <w:basedOn w:val="Bekezdsalapbettpusa"/>
    <w:link w:val="llb"/>
    <w:uiPriority w:val="99"/>
    <w:rsid w:val="004F07B9"/>
  </w:style>
  <w:style w:type="character" w:styleId="Helyrzszveg">
    <w:name w:val="Placeholder Text"/>
    <w:basedOn w:val="Bekezdsalapbettpusa"/>
    <w:uiPriority w:val="99"/>
    <w:semiHidden/>
    <w:rsid w:val="004F07B9"/>
    <w:rPr>
      <w:color w:val="808080"/>
    </w:rPr>
  </w:style>
  <w:style w:type="paragraph" w:styleId="Buborkszveg">
    <w:name w:val="Balloon Text"/>
    <w:basedOn w:val="Norml"/>
    <w:link w:val="BuborkszvegChar"/>
    <w:uiPriority w:val="99"/>
    <w:semiHidden/>
    <w:unhideWhenUsed/>
    <w:rsid w:val="004F07B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F07B9"/>
    <w:rPr>
      <w:rFonts w:ascii="Tahoma" w:hAnsi="Tahoma" w:cs="Tahoma"/>
      <w:sz w:val="16"/>
      <w:szCs w:val="16"/>
    </w:rPr>
  </w:style>
  <w:style w:type="paragraph" w:styleId="Nincstrkz">
    <w:name w:val="No Spacing"/>
    <w:link w:val="NincstrkzChar"/>
    <w:uiPriority w:val="1"/>
    <w:qFormat/>
    <w:rsid w:val="00C43059"/>
    <w:pPr>
      <w:spacing w:after="0" w:line="240" w:lineRule="auto"/>
    </w:pPr>
    <w:rPr>
      <w:rFonts w:eastAsiaTheme="minorEastAsia"/>
    </w:rPr>
  </w:style>
  <w:style w:type="character" w:customStyle="1" w:styleId="NincstrkzChar">
    <w:name w:val="Nincs térköz Char"/>
    <w:basedOn w:val="Bekezdsalapbettpusa"/>
    <w:link w:val="Nincstrkz"/>
    <w:uiPriority w:val="1"/>
    <w:rsid w:val="00C43059"/>
    <w:rPr>
      <w:rFonts w:eastAsiaTheme="minorEastAsia"/>
    </w:rPr>
  </w:style>
  <w:style w:type="paragraph" w:styleId="Listaszerbekezds">
    <w:name w:val="List Paragraph"/>
    <w:basedOn w:val="Norml"/>
    <w:uiPriority w:val="34"/>
    <w:qFormat/>
    <w:rsid w:val="00DF487F"/>
    <w:pPr>
      <w:ind w:left="720"/>
      <w:contextualSpacing/>
    </w:pPr>
  </w:style>
  <w:style w:type="table" w:styleId="Rcsostblzat">
    <w:name w:val="Table Grid"/>
    <w:basedOn w:val="Normltblzat"/>
    <w:uiPriority w:val="59"/>
    <w:rsid w:val="008F16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trkp">
    <w:name w:val="Document Map"/>
    <w:basedOn w:val="Norml"/>
    <w:link w:val="DokumentumtrkpChar"/>
    <w:uiPriority w:val="99"/>
    <w:semiHidden/>
    <w:unhideWhenUsed/>
    <w:rsid w:val="004210C8"/>
    <w:pPr>
      <w:spacing w:after="0" w:line="240" w:lineRule="auto"/>
    </w:pPr>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4210C8"/>
    <w:rPr>
      <w:rFonts w:ascii="Tahoma" w:hAnsi="Tahoma" w:cs="Tahoma"/>
      <w:sz w:val="16"/>
      <w:szCs w:val="16"/>
    </w:rPr>
  </w:style>
  <w:style w:type="character" w:styleId="Kiemels">
    <w:name w:val="Emphasis"/>
    <w:uiPriority w:val="20"/>
    <w:qFormat/>
    <w:rsid w:val="0055606B"/>
    <w:rPr>
      <w:rFonts w:ascii="Century Gothic" w:hAnsi="Century Gothic"/>
      <w:i/>
      <w:iCs/>
    </w:rPr>
  </w:style>
  <w:style w:type="paragraph" w:styleId="TJ1">
    <w:name w:val="toc 1"/>
    <w:basedOn w:val="Norml"/>
    <w:next w:val="Norml"/>
    <w:autoRedefine/>
    <w:uiPriority w:val="39"/>
    <w:unhideWhenUsed/>
    <w:rsid w:val="008C768D"/>
    <w:pPr>
      <w:spacing w:after="100"/>
    </w:pPr>
  </w:style>
  <w:style w:type="character" w:styleId="Hiperhivatkozs">
    <w:name w:val="Hyperlink"/>
    <w:basedOn w:val="Bekezdsalapbettpusa"/>
    <w:uiPriority w:val="99"/>
    <w:unhideWhenUsed/>
    <w:rsid w:val="008C768D"/>
    <w:rPr>
      <w:color w:val="0000FF" w:themeColor="hyperlink"/>
      <w:u w:val="single"/>
    </w:rPr>
  </w:style>
  <w:style w:type="character" w:customStyle="1" w:styleId="st">
    <w:name w:val="st"/>
    <w:basedOn w:val="Bekezdsalapbettpusa"/>
    <w:rsid w:val="009453E2"/>
  </w:style>
  <w:style w:type="character" w:styleId="Kiemels2">
    <w:name w:val="Strong"/>
    <w:basedOn w:val="Bekezdsalapbettpusa"/>
    <w:uiPriority w:val="22"/>
    <w:qFormat/>
    <w:rsid w:val="005A1440"/>
    <w:rPr>
      <w:b/>
      <w:bCs/>
    </w:rPr>
  </w:style>
  <w:style w:type="character" w:customStyle="1" w:styleId="formtext">
    <w:name w:val="formtext"/>
    <w:basedOn w:val="Bekezdsalapbettpusa"/>
    <w:rsid w:val="00626CD5"/>
  </w:style>
  <w:style w:type="character" w:customStyle="1" w:styleId="Cmsor1Char">
    <w:name w:val="Címsor 1 Char"/>
    <w:basedOn w:val="Bekezdsalapbettpusa"/>
    <w:link w:val="Cmsor1"/>
    <w:uiPriority w:val="9"/>
    <w:rsid w:val="00626CD5"/>
    <w:rPr>
      <w:rFonts w:ascii="Times New Roman" w:eastAsia="Times New Roman" w:hAnsi="Times New Roman" w:cs="Times New Roman"/>
      <w:b/>
      <w:bCs/>
      <w:kern w:val="36"/>
      <w:sz w:val="48"/>
      <w:szCs w:val="48"/>
      <w:lang w:eastAsia="sk-SK"/>
    </w:rPr>
  </w:style>
  <w:style w:type="character" w:customStyle="1" w:styleId="h1a">
    <w:name w:val="h1a"/>
    <w:basedOn w:val="Bekezdsalapbettpusa"/>
    <w:rsid w:val="00626CD5"/>
  </w:style>
  <w:style w:type="paragraph" w:customStyle="1" w:styleId="jank">
    <w:name w:val="janík"/>
    <w:next w:val="Norml"/>
    <w:rsid w:val="009B3ABC"/>
    <w:pPr>
      <w:spacing w:after="0" w:line="240" w:lineRule="auto"/>
      <w:jc w:val="both"/>
    </w:pPr>
    <w:rPr>
      <w:rFonts w:ascii="Bookman Old Style" w:eastAsia="Times New Roman" w:hAnsi="Bookman Old Style" w:cs="Times New Roman"/>
      <w:sz w:val="20"/>
      <w:lang w:eastAsia="sk-SK"/>
    </w:rPr>
  </w:style>
  <w:style w:type="paragraph" w:customStyle="1" w:styleId="TOMIWPD">
    <w:name w:val="TOMIWPD"/>
    <w:basedOn w:val="Norml"/>
    <w:link w:val="TOMIWPDChar"/>
    <w:rsid w:val="009B3ABC"/>
    <w:pPr>
      <w:tabs>
        <w:tab w:val="left" w:pos="720"/>
      </w:tabs>
      <w:suppressAutoHyphens/>
      <w:overflowPunct w:val="0"/>
      <w:autoSpaceDE w:val="0"/>
      <w:spacing w:after="0" w:line="252" w:lineRule="auto"/>
      <w:jc w:val="both"/>
      <w:textAlignment w:val="baseline"/>
    </w:pPr>
    <w:rPr>
      <w:rFonts w:ascii="Arial" w:eastAsia="Times New Roman" w:hAnsi="Arial" w:cs="Arial"/>
      <w:spacing w:val="-7"/>
      <w:sz w:val="18"/>
      <w:szCs w:val="20"/>
      <w:lang w:eastAsia="ar-SA"/>
    </w:rPr>
  </w:style>
  <w:style w:type="character" w:customStyle="1" w:styleId="TOMIWPDChar">
    <w:name w:val="TOMIWPD Char"/>
    <w:basedOn w:val="Bekezdsalapbettpusa"/>
    <w:link w:val="TOMIWPD"/>
    <w:rsid w:val="009B3ABC"/>
    <w:rPr>
      <w:rFonts w:ascii="Arial" w:eastAsia="Times New Roman" w:hAnsi="Arial" w:cs="Arial"/>
      <w:spacing w:val="-7"/>
      <w:sz w:val="18"/>
      <w:szCs w:val="20"/>
      <w:lang w:eastAsia="ar-SA"/>
    </w:rPr>
  </w:style>
  <w:style w:type="paragraph" w:customStyle="1" w:styleId="DecimalAligned">
    <w:name w:val="Decimal Aligned"/>
    <w:basedOn w:val="Norml"/>
    <w:uiPriority w:val="40"/>
    <w:qFormat/>
    <w:rsid w:val="003B4CE9"/>
    <w:pPr>
      <w:tabs>
        <w:tab w:val="decimal" w:pos="360"/>
      </w:tabs>
    </w:pPr>
    <w:rPr>
      <w:rFonts w:eastAsiaTheme="minorEastAsia" w:cs="Times New Roman"/>
      <w:lang w:eastAsia="sk-SK"/>
    </w:rPr>
  </w:style>
  <w:style w:type="paragraph" w:styleId="Lbjegyzetszveg">
    <w:name w:val="footnote text"/>
    <w:basedOn w:val="Norml"/>
    <w:link w:val="LbjegyzetszvegChar"/>
    <w:uiPriority w:val="99"/>
    <w:unhideWhenUsed/>
    <w:rsid w:val="003B4CE9"/>
    <w:pPr>
      <w:spacing w:after="0" w:line="240" w:lineRule="auto"/>
    </w:pPr>
    <w:rPr>
      <w:rFonts w:eastAsiaTheme="minorEastAsia" w:cs="Times New Roman"/>
      <w:sz w:val="20"/>
      <w:szCs w:val="20"/>
      <w:lang w:eastAsia="sk-SK"/>
    </w:rPr>
  </w:style>
  <w:style w:type="character" w:customStyle="1" w:styleId="LbjegyzetszvegChar">
    <w:name w:val="Lábjegyzetszöveg Char"/>
    <w:basedOn w:val="Bekezdsalapbettpusa"/>
    <w:link w:val="Lbjegyzetszveg"/>
    <w:uiPriority w:val="99"/>
    <w:rsid w:val="003B4CE9"/>
    <w:rPr>
      <w:rFonts w:eastAsiaTheme="minorEastAsia" w:cs="Times New Roman"/>
      <w:sz w:val="20"/>
      <w:szCs w:val="20"/>
      <w:lang w:eastAsia="sk-SK"/>
    </w:rPr>
  </w:style>
  <w:style w:type="character" w:styleId="Finomkiemels">
    <w:name w:val="Subtle Emphasis"/>
    <w:basedOn w:val="Bekezdsalapbettpusa"/>
    <w:uiPriority w:val="19"/>
    <w:qFormat/>
    <w:rsid w:val="003B4CE9"/>
    <w:rPr>
      <w:i/>
      <w:iCs/>
    </w:rPr>
  </w:style>
  <w:style w:type="table" w:styleId="Kzepesrnykols25jellszn">
    <w:name w:val="Medium Shading 2 Accent 5"/>
    <w:basedOn w:val="Normltblzat"/>
    <w:uiPriority w:val="64"/>
    <w:rsid w:val="003B4CE9"/>
    <w:pPr>
      <w:spacing w:after="0" w:line="240" w:lineRule="auto"/>
    </w:pPr>
    <w:rPr>
      <w:rFonts w:eastAsiaTheme="minorEastAsia"/>
      <w:lang w:eastAsia="sk-S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blzatrcsos1vilgos5jellszn">
    <w:name w:val="Grid Table 1 Light Accent 5"/>
    <w:basedOn w:val="Normltblzat"/>
    <w:uiPriority w:val="46"/>
    <w:rsid w:val="00A963AA"/>
    <w:pPr>
      <w:spacing w:after="0" w:line="240" w:lineRule="auto"/>
    </w:pPr>
    <w:rPr>
      <w:sz w:val="18"/>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Szvegtrzs">
    <w:name w:val="Body Text"/>
    <w:basedOn w:val="Norml"/>
    <w:link w:val="SzvegtrzsChar"/>
    <w:semiHidden/>
    <w:rsid w:val="00D62150"/>
    <w:pPr>
      <w:tabs>
        <w:tab w:val="left" w:pos="360"/>
      </w:tabs>
      <w:spacing w:after="0" w:line="240" w:lineRule="auto"/>
      <w:jc w:val="both"/>
    </w:pPr>
    <w:rPr>
      <w:rFonts w:ascii="Times New Roman" w:eastAsia="Times New Roman" w:hAnsi="Times New Roman" w:cs="Times New Roman"/>
      <w:sz w:val="24"/>
      <w:szCs w:val="24"/>
      <w:lang w:eastAsia="cs-CZ"/>
    </w:rPr>
  </w:style>
  <w:style w:type="character" w:customStyle="1" w:styleId="SzvegtrzsChar">
    <w:name w:val="Szövegtörzs Char"/>
    <w:basedOn w:val="Bekezdsalapbettpusa"/>
    <w:link w:val="Szvegtrzs"/>
    <w:semiHidden/>
    <w:rsid w:val="00D62150"/>
    <w:rPr>
      <w:rFonts w:ascii="Times New Roman" w:eastAsia="Times New Roman" w:hAnsi="Times New Roman" w:cs="Times New Roman"/>
      <w:sz w:val="24"/>
      <w:szCs w:val="24"/>
      <w:lang w:eastAsia="cs-CZ"/>
    </w:rPr>
  </w:style>
  <w:style w:type="paragraph" w:styleId="Szvegtrzs3">
    <w:name w:val="Body Text 3"/>
    <w:basedOn w:val="Norml"/>
    <w:link w:val="Szvegtrzs3Char"/>
    <w:semiHidden/>
    <w:rsid w:val="00D62150"/>
    <w:pPr>
      <w:tabs>
        <w:tab w:val="left" w:pos="360"/>
      </w:tabs>
      <w:spacing w:after="0" w:line="240" w:lineRule="auto"/>
      <w:jc w:val="both"/>
    </w:pPr>
    <w:rPr>
      <w:rFonts w:ascii="Times New Roman" w:eastAsia="Times New Roman" w:hAnsi="Times New Roman" w:cs="Times New Roman"/>
      <w:sz w:val="26"/>
      <w:szCs w:val="24"/>
      <w:lang w:eastAsia="cs-CZ"/>
    </w:rPr>
  </w:style>
  <w:style w:type="character" w:customStyle="1" w:styleId="Szvegtrzs3Char">
    <w:name w:val="Szövegtörzs 3 Char"/>
    <w:basedOn w:val="Bekezdsalapbettpusa"/>
    <w:link w:val="Szvegtrzs3"/>
    <w:semiHidden/>
    <w:rsid w:val="00D62150"/>
    <w:rPr>
      <w:rFonts w:ascii="Times New Roman" w:eastAsia="Times New Roman" w:hAnsi="Times New Roman" w:cs="Times New Roman"/>
      <w:sz w:val="26"/>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98150">
      <w:bodyDiv w:val="1"/>
      <w:marLeft w:val="0"/>
      <w:marRight w:val="0"/>
      <w:marTop w:val="0"/>
      <w:marBottom w:val="0"/>
      <w:divBdr>
        <w:top w:val="none" w:sz="0" w:space="0" w:color="auto"/>
        <w:left w:val="none" w:sz="0" w:space="0" w:color="auto"/>
        <w:bottom w:val="none" w:sz="0" w:space="0" w:color="auto"/>
        <w:right w:val="none" w:sz="0" w:space="0" w:color="auto"/>
      </w:divBdr>
    </w:div>
    <w:div w:id="544100457">
      <w:bodyDiv w:val="1"/>
      <w:marLeft w:val="0"/>
      <w:marRight w:val="0"/>
      <w:marTop w:val="0"/>
      <w:marBottom w:val="0"/>
      <w:divBdr>
        <w:top w:val="none" w:sz="0" w:space="0" w:color="auto"/>
        <w:left w:val="none" w:sz="0" w:space="0" w:color="auto"/>
        <w:bottom w:val="none" w:sz="0" w:space="0" w:color="auto"/>
        <w:right w:val="none" w:sz="0" w:space="0" w:color="auto"/>
      </w:divBdr>
    </w:div>
    <w:div w:id="544566664">
      <w:bodyDiv w:val="1"/>
      <w:marLeft w:val="0"/>
      <w:marRight w:val="0"/>
      <w:marTop w:val="0"/>
      <w:marBottom w:val="0"/>
      <w:divBdr>
        <w:top w:val="none" w:sz="0" w:space="0" w:color="auto"/>
        <w:left w:val="none" w:sz="0" w:space="0" w:color="auto"/>
        <w:bottom w:val="none" w:sz="0" w:space="0" w:color="auto"/>
        <w:right w:val="none" w:sz="0" w:space="0" w:color="auto"/>
      </w:divBdr>
    </w:div>
    <w:div w:id="1085490942">
      <w:bodyDiv w:val="1"/>
      <w:marLeft w:val="0"/>
      <w:marRight w:val="0"/>
      <w:marTop w:val="0"/>
      <w:marBottom w:val="0"/>
      <w:divBdr>
        <w:top w:val="none" w:sz="0" w:space="0" w:color="auto"/>
        <w:left w:val="none" w:sz="0" w:space="0" w:color="auto"/>
        <w:bottom w:val="none" w:sz="0" w:space="0" w:color="auto"/>
        <w:right w:val="none" w:sz="0" w:space="0" w:color="auto"/>
      </w:divBdr>
    </w:div>
    <w:div w:id="1167525919">
      <w:bodyDiv w:val="1"/>
      <w:marLeft w:val="0"/>
      <w:marRight w:val="0"/>
      <w:marTop w:val="0"/>
      <w:marBottom w:val="0"/>
      <w:divBdr>
        <w:top w:val="none" w:sz="0" w:space="0" w:color="auto"/>
        <w:left w:val="none" w:sz="0" w:space="0" w:color="auto"/>
        <w:bottom w:val="none" w:sz="0" w:space="0" w:color="auto"/>
        <w:right w:val="none" w:sz="0" w:space="0" w:color="auto"/>
      </w:divBdr>
    </w:div>
    <w:div w:id="1274091180">
      <w:bodyDiv w:val="1"/>
      <w:marLeft w:val="0"/>
      <w:marRight w:val="0"/>
      <w:marTop w:val="0"/>
      <w:marBottom w:val="0"/>
      <w:divBdr>
        <w:top w:val="none" w:sz="0" w:space="0" w:color="auto"/>
        <w:left w:val="none" w:sz="0" w:space="0" w:color="auto"/>
        <w:bottom w:val="none" w:sz="0" w:space="0" w:color="auto"/>
        <w:right w:val="none" w:sz="0" w:space="0" w:color="auto"/>
      </w:divBdr>
    </w:div>
    <w:div w:id="1305429674">
      <w:bodyDiv w:val="1"/>
      <w:marLeft w:val="0"/>
      <w:marRight w:val="0"/>
      <w:marTop w:val="0"/>
      <w:marBottom w:val="0"/>
      <w:divBdr>
        <w:top w:val="none" w:sz="0" w:space="0" w:color="auto"/>
        <w:left w:val="none" w:sz="0" w:space="0" w:color="auto"/>
        <w:bottom w:val="none" w:sz="0" w:space="0" w:color="auto"/>
        <w:right w:val="none" w:sz="0" w:space="0" w:color="auto"/>
      </w:divBdr>
    </w:div>
    <w:div w:id="1408649554">
      <w:bodyDiv w:val="1"/>
      <w:marLeft w:val="0"/>
      <w:marRight w:val="0"/>
      <w:marTop w:val="0"/>
      <w:marBottom w:val="0"/>
      <w:divBdr>
        <w:top w:val="none" w:sz="0" w:space="0" w:color="auto"/>
        <w:left w:val="none" w:sz="0" w:space="0" w:color="auto"/>
        <w:bottom w:val="none" w:sz="0" w:space="0" w:color="auto"/>
        <w:right w:val="none" w:sz="0" w:space="0" w:color="auto"/>
      </w:divBdr>
    </w:div>
    <w:div w:id="177636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58E52-2CA2-4EE9-88B2-4DA513E61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10366</TotalTime>
  <Pages>8</Pages>
  <Words>3257</Words>
  <Characters>18565</Characters>
  <Application>Microsoft Office Word</Application>
  <DocSecurity>0</DocSecurity>
  <Lines>154</Lines>
  <Paragraphs>43</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Agroturisti</vt:lpstr>
      <vt:lpstr>Agroturisti</vt:lpstr>
    </vt:vector>
  </TitlesOfParts>
  <Company/>
  <LinksUpToDate>false</LinksUpToDate>
  <CharactersWithSpaces>21779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Agroturisti</dc:title>
  <dc:subject/>
  <dc:creator>Ing. Tímea Olléová</dc:creator>
  <cp:keywords/>
  <dc:description/>
  <cp:lastModifiedBy>Gabi</cp:lastModifiedBy>
  <cp:revision>12</cp:revision>
  <cp:lastPrinted>2021-09-02T10:56:00Z</cp:lastPrinted>
  <dcterms:created xsi:type="dcterms:W3CDTF">2023-04-06T05:57:00Z</dcterms:created>
  <dcterms:modified xsi:type="dcterms:W3CDTF">2023-07-26T15:22:00Z</dcterms:modified>
</cp:coreProperties>
</file>