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2E539ADD"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5603F">
        <w:rPr>
          <w:rFonts w:cs="Arial"/>
          <w:b w:val="0"/>
        </w:rPr>
        <w:t>7</w:t>
      </w:r>
      <w:r w:rsidRPr="00C07164">
        <w:rPr>
          <w:rFonts w:cs="Arial"/>
          <w:b w:val="0"/>
        </w:rPr>
        <w:t xml:space="preserve"> -14/</w:t>
      </w:r>
      <w:r w:rsidR="00C07164" w:rsidRPr="00C07164">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26420F1D"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C07164">
        <w:rPr>
          <w:rFonts w:cs="Arial"/>
          <w:i/>
          <w:szCs w:val="20"/>
        </w:rPr>
        <w:t>Pohorelá</w:t>
      </w:r>
      <w:r w:rsidRPr="009D0E64">
        <w:rPr>
          <w:rFonts w:cs="Arial"/>
          <w:i/>
          <w:szCs w:val="20"/>
        </w:rPr>
        <w:t>- výzva č.</w:t>
      </w:r>
      <w:r w:rsidR="0075603F">
        <w:rPr>
          <w:rFonts w:cs="Arial"/>
          <w:i/>
          <w:szCs w:val="20"/>
        </w:rPr>
        <w:t>7</w:t>
      </w:r>
      <w:r w:rsidRPr="009D0E64">
        <w:rPr>
          <w:rFonts w:cs="Arial"/>
          <w:i/>
          <w:szCs w:val="20"/>
        </w:rPr>
        <w:t xml:space="preserve"> -14/</w:t>
      </w:r>
      <w:r w:rsidR="00C07164">
        <w:rPr>
          <w:rFonts w:cs="Arial"/>
          <w:i/>
          <w:szCs w:val="20"/>
        </w:rPr>
        <w:t>11</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680163E9"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bookmarkStart w:id="0" w:name="_GoBack"/>
      <w:r w:rsidRPr="0011360D">
        <w:rPr>
          <w:rFonts w:ascii="Arial" w:hAnsi="Arial" w:cs="Arial"/>
          <w:b/>
          <w:sz w:val="20"/>
          <w:lang w:val="sk-SK"/>
        </w:rPr>
        <w:t>31.12.2023</w:t>
      </w:r>
      <w:bookmarkEnd w:id="0"/>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75AA172B"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07164">
        <w:rPr>
          <w:rFonts w:cs="Arial"/>
          <w:szCs w:val="20"/>
          <w:lang w:eastAsia="cs-CZ"/>
        </w:rPr>
        <w:t>Peter Lakanda</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C07164">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uzatvorená v súlade s § 72 ods. 4 zákona č. 222/2004 Z. z. o dani z pridanej hodnoty v znení neskroších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AE0417"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AE0417"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AE0417"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AE0417"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r w:rsidRPr="00C35753">
              <w:rPr>
                <w:rFonts w:cs="Arial"/>
                <w:sz w:val="16"/>
                <w:szCs w:val="16"/>
              </w:rPr>
              <w:t>Ihl:                           List:</w:t>
            </w:r>
          </w:p>
        </w:tc>
      </w:tr>
      <w:tr w:rsidR="00F81F8A" w:rsidRPr="00C35753" w14:paraId="74512AF5" w14:textId="77777777" w:rsidTr="00E83678">
        <w:tc>
          <w:tcPr>
            <w:tcW w:w="3256" w:type="dxa"/>
          </w:tcPr>
          <w:p w14:paraId="4142DFFB" w14:textId="77777777" w:rsidR="00F81F8A" w:rsidRPr="00C35753" w:rsidRDefault="00AE0417"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AE0417"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prerušenie približ.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0417">
              <w:rPr>
                <w:sz w:val="16"/>
                <w:szCs w:val="16"/>
              </w:rPr>
            </w:r>
            <w:r w:rsidR="00AE0417">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760FBA9F"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w:t>
      </w:r>
      <w:r w:rsidR="0075603F">
        <w:rPr>
          <w:rFonts w:eastAsia="Calibri" w:cs="Arial"/>
          <w:szCs w:val="20"/>
          <w:lang w:eastAsia="en-US"/>
        </w:rPr>
        <w:t>ehronie, LS Pohorelá - výzva č.7</w:t>
      </w:r>
      <w:r w:rsidRPr="00C07164">
        <w:rPr>
          <w:rFonts w:eastAsia="Calibri" w:cs="Arial"/>
          <w:szCs w:val="20"/>
          <w:lang w:eastAsia="en-US"/>
        </w:rPr>
        <w:t xml:space="preserve"> -14/11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F1F2" w14:textId="77777777" w:rsidR="00AE0417" w:rsidRDefault="00AE0417">
      <w:r>
        <w:separator/>
      </w:r>
    </w:p>
  </w:endnote>
  <w:endnote w:type="continuationSeparator" w:id="0">
    <w:p w14:paraId="0CF87DC7" w14:textId="77777777" w:rsidR="00AE0417" w:rsidRDefault="00AE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FC60BE0" w:rsidR="00FA6CE6" w:rsidRDefault="00FA6CE6">
        <w:pPr>
          <w:pStyle w:val="Pta"/>
          <w:jc w:val="right"/>
        </w:pPr>
        <w:r>
          <w:fldChar w:fldCharType="begin"/>
        </w:r>
        <w:r>
          <w:instrText>PAGE   \* MERGEFORMAT</w:instrText>
        </w:r>
        <w:r>
          <w:fldChar w:fldCharType="separate"/>
        </w:r>
        <w:r w:rsidR="0011360D">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5AFB" w14:textId="77777777" w:rsidR="00AE0417" w:rsidRDefault="00AE0417">
      <w:r>
        <w:separator/>
      </w:r>
    </w:p>
  </w:footnote>
  <w:footnote w:type="continuationSeparator" w:id="0">
    <w:p w14:paraId="009C68F5" w14:textId="77777777" w:rsidR="00AE0417" w:rsidRDefault="00AE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212E-9FA5-446C-AD87-23188F81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10055</Words>
  <Characters>57318</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12</cp:revision>
  <cp:lastPrinted>2020-05-15T08:49:00Z</cp:lastPrinted>
  <dcterms:created xsi:type="dcterms:W3CDTF">2022-10-31T15:45:00Z</dcterms:created>
  <dcterms:modified xsi:type="dcterms:W3CDTF">2023-07-18T07:57:00Z</dcterms:modified>
</cp:coreProperties>
</file>