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7CC3" w14:textId="3EAD5E38" w:rsidR="007419DF" w:rsidRPr="00DB5088" w:rsidRDefault="007419DF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1C04514E" w14:textId="6CAFD155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2FFEAC55" w14:textId="5825F57F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4347E0F4" w14:textId="378DC5FC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54F12A1D" w14:textId="42E98502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13A07BD7" w14:textId="0EBB9FFB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4EF50E7D" w14:textId="2A39B4FE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02E1371D" w14:textId="150C07EA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09984E37" w14:textId="32FD52EC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3B62F164" w14:textId="5DD35202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0EFDF7E9" w14:textId="401C6FAD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1DF50502" w14:textId="5BCDEA4D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05A27E3E" w14:textId="45D1C413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0CE4ABEA" w14:textId="3BA3EC67" w:rsidR="009B00F2" w:rsidRPr="00DB5088" w:rsidRDefault="009B00F2" w:rsidP="00DB5088">
      <w:pPr>
        <w:pStyle w:val="BodyText"/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p w14:paraId="2558475A" w14:textId="77777777" w:rsidR="009B00F2" w:rsidRPr="00FF4309" w:rsidRDefault="009B00F2" w:rsidP="00CC4CF5">
      <w:pPr>
        <w:jc w:val="center"/>
        <w:rPr>
          <w:rFonts w:ascii="Cambria" w:hAnsi="Cambria" w:cs="Arial"/>
          <w:b/>
          <w:sz w:val="22"/>
          <w:szCs w:val="22"/>
        </w:rPr>
      </w:pPr>
      <w:r w:rsidRPr="00FF4309">
        <w:rPr>
          <w:rFonts w:ascii="Cambria" w:hAnsi="Cambria" w:cs="Arial"/>
          <w:b/>
          <w:sz w:val="22"/>
          <w:szCs w:val="22"/>
        </w:rPr>
        <w:t>Slovník pojmov k Servisnej zmluve</w:t>
      </w:r>
    </w:p>
    <w:p w14:paraId="21CFDE16" w14:textId="3E87A3AC" w:rsidR="009B00F2" w:rsidRPr="00FF4309" w:rsidRDefault="009B00F2" w:rsidP="00560D2E">
      <w:pPr>
        <w:jc w:val="center"/>
        <w:rPr>
          <w:rFonts w:ascii="Cambria" w:hAnsi="Cambria" w:cs="Arial"/>
          <w:b/>
          <w:sz w:val="22"/>
          <w:szCs w:val="22"/>
        </w:rPr>
      </w:pPr>
    </w:p>
    <w:p w14:paraId="7138871D" w14:textId="4F46657C" w:rsidR="00DB5088" w:rsidRPr="00FF4309" w:rsidRDefault="00DB5088">
      <w:pPr>
        <w:rPr>
          <w:rFonts w:ascii="Cambria" w:hAnsi="Cambria" w:cs="Arial"/>
          <w:b/>
          <w:sz w:val="20"/>
        </w:rPr>
      </w:pPr>
      <w:r w:rsidRPr="00FF4309">
        <w:rPr>
          <w:rFonts w:ascii="Cambria" w:hAnsi="Cambria" w:cs="Arial"/>
          <w:b/>
          <w:sz w:val="20"/>
        </w:rPr>
        <w:br w:type="page"/>
      </w:r>
    </w:p>
    <w:p w14:paraId="5AB036E3" w14:textId="77777777" w:rsidR="009B00F2" w:rsidRPr="00FF4309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148A9A" w14:textId="77777777" w:rsidR="007419DF" w:rsidRPr="00FF4309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7147"/>
      </w:tblGrid>
      <w:tr w:rsidR="007419DF" w:rsidRPr="00FF4309" w14:paraId="3DAC3AC1" w14:textId="77777777" w:rsidTr="0064347E">
        <w:trPr>
          <w:tblHeader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FF4309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FF4309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DB5088" w:rsidRPr="00FF4309" w14:paraId="4A084D49" w14:textId="77777777" w:rsidTr="0064347E">
        <w:trPr>
          <w:cantSplit/>
        </w:trPr>
        <w:tc>
          <w:tcPr>
            <w:tcW w:w="2521" w:type="dxa"/>
          </w:tcPr>
          <w:p w14:paraId="5CE44F6F" w14:textId="77777777" w:rsidR="00DB5088" w:rsidRPr="00FF4309" w:rsidRDefault="00DB5088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t>Akceptačné testovanie</w:t>
            </w:r>
          </w:p>
        </w:tc>
        <w:tc>
          <w:tcPr>
            <w:tcW w:w="7147" w:type="dxa"/>
          </w:tcPr>
          <w:p w14:paraId="3DC8414C" w14:textId="77777777" w:rsidR="00DB5088" w:rsidRPr="00FF4309" w:rsidRDefault="00DB5088" w:rsidP="00217CA1">
            <w:pPr>
              <w:numPr>
                <w:ilvl w:val="2"/>
                <w:numId w:val="0"/>
              </w:numPr>
              <w:tabs>
                <w:tab w:val="num" w:pos="2160"/>
              </w:tabs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F4309">
              <w:rPr>
                <w:rFonts w:ascii="Cambria" w:hAnsi="Cambria"/>
                <w:sz w:val="20"/>
              </w:rPr>
              <w:t>spočíva v:</w:t>
            </w:r>
          </w:p>
          <w:p w14:paraId="467DD0A2" w14:textId="7A1FCCD2" w:rsidR="00DB5088" w:rsidRPr="00FF4309" w:rsidRDefault="00DB5088" w:rsidP="00217CA1">
            <w:pPr>
              <w:numPr>
                <w:ilvl w:val="0"/>
                <w:numId w:val="3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F4309">
              <w:rPr>
                <w:rFonts w:ascii="Cambria" w:hAnsi="Cambria"/>
                <w:sz w:val="20"/>
              </w:rPr>
              <w:t xml:space="preserve">overení objednávateľom splnenia požiadaviek objednávateľa na úpravu </w:t>
            </w:r>
            <w:r w:rsidRPr="00FF4309">
              <w:rPr>
                <w:rFonts w:ascii="Cambria" w:hAnsi="Cambria" w:cs="Arial"/>
                <w:sz w:val="20"/>
              </w:rPr>
              <w:t>služby IT</w:t>
            </w:r>
            <w:r w:rsidRPr="00FF4309">
              <w:rPr>
                <w:rFonts w:ascii="Cambria" w:hAnsi="Cambria"/>
                <w:sz w:val="20"/>
              </w:rPr>
              <w:t>,</w:t>
            </w:r>
          </w:p>
          <w:p w14:paraId="63B9B064" w14:textId="2445C173" w:rsidR="00DB5088" w:rsidRPr="00FF4309" w:rsidRDefault="00DB5088" w:rsidP="00217CA1">
            <w:pPr>
              <w:numPr>
                <w:ilvl w:val="0"/>
                <w:numId w:val="3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F4309">
              <w:rPr>
                <w:rFonts w:ascii="Cambria" w:hAnsi="Cambria"/>
                <w:sz w:val="20"/>
              </w:rPr>
              <w:t xml:space="preserve">riadení zaznamenaných incidentov týkajúcich sa úpravy </w:t>
            </w:r>
            <w:r w:rsidRPr="00FF4309">
              <w:rPr>
                <w:rFonts w:ascii="Cambria" w:hAnsi="Cambria" w:cs="Arial"/>
                <w:sz w:val="20"/>
              </w:rPr>
              <w:t>služby IT</w:t>
            </w:r>
            <w:r w:rsidRPr="00FF4309">
              <w:rPr>
                <w:rFonts w:ascii="Cambria" w:hAnsi="Cambria"/>
                <w:sz w:val="20"/>
              </w:rPr>
              <w:t>,</w:t>
            </w:r>
          </w:p>
          <w:p w14:paraId="65B0C87D" w14:textId="03A74328" w:rsidR="00DB5088" w:rsidRPr="00FF4309" w:rsidRDefault="00DB5088" w:rsidP="00217CA1">
            <w:pPr>
              <w:numPr>
                <w:ilvl w:val="0"/>
                <w:numId w:val="3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F4309">
              <w:rPr>
                <w:rFonts w:ascii="Cambria" w:hAnsi="Cambria"/>
                <w:sz w:val="20"/>
              </w:rPr>
              <w:t xml:space="preserve">vypracovaní objednávateľom akceptačného protokolu  úpravy </w:t>
            </w:r>
            <w:r w:rsidRPr="00FF4309">
              <w:rPr>
                <w:rFonts w:ascii="Cambria" w:hAnsi="Cambria" w:cs="Arial"/>
                <w:sz w:val="20"/>
              </w:rPr>
              <w:t>služby IT</w:t>
            </w:r>
            <w:r w:rsidRPr="00FF4309">
              <w:rPr>
                <w:rFonts w:ascii="Cambria" w:hAnsi="Cambria"/>
                <w:sz w:val="20"/>
              </w:rPr>
              <w:t>.</w:t>
            </w:r>
          </w:p>
        </w:tc>
      </w:tr>
      <w:tr w:rsidR="0036724D" w:rsidRPr="00FF4309" w14:paraId="4A5F96B8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FF4309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03EC6FEE" w:rsidR="007419DF" w:rsidRPr="00FF4309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8C0782" w:rsidRPr="00FF4309">
              <w:rPr>
                <w:rFonts w:ascii="Cambria" w:hAnsi="Cambria" w:cs="Arial"/>
                <w:sz w:val="20"/>
              </w:rPr>
              <w:t>poskytovate</w:t>
            </w:r>
            <w:r w:rsidR="00F611A8" w:rsidRPr="00FF4309">
              <w:rPr>
                <w:rFonts w:ascii="Cambria" w:hAnsi="Cambria" w:cs="Arial"/>
                <w:sz w:val="20"/>
              </w:rPr>
              <w:t>ľ</w:t>
            </w:r>
            <w:r w:rsidRPr="00FF4309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8C0782" w:rsidRPr="00FF4309">
              <w:rPr>
                <w:rFonts w:ascii="Cambria" w:hAnsi="Cambria" w:cs="Arial"/>
                <w:sz w:val="20"/>
              </w:rPr>
              <w:t>poskytovate</w:t>
            </w:r>
            <w:r w:rsidR="00F611A8" w:rsidRPr="00FF4309">
              <w:rPr>
                <w:rFonts w:ascii="Cambria" w:hAnsi="Cambria" w:cs="Arial"/>
                <w:sz w:val="20"/>
              </w:rPr>
              <w:t>ľ</w:t>
            </w:r>
            <w:r w:rsidRPr="00FF4309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FF4309" w14:paraId="592D9A8E" w14:textId="77777777" w:rsidTr="0064347E">
        <w:trPr>
          <w:cantSplit/>
        </w:trPr>
        <w:tc>
          <w:tcPr>
            <w:tcW w:w="2521" w:type="dxa"/>
          </w:tcPr>
          <w:p w14:paraId="5025E86F" w14:textId="77777777" w:rsidR="00FA76BA" w:rsidRPr="00FF4309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7147" w:type="dxa"/>
          </w:tcPr>
          <w:p w14:paraId="5952D120" w14:textId="2178D330" w:rsidR="00FA76BA" w:rsidRPr="00FF4309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FF4309">
              <w:rPr>
                <w:rFonts w:ascii="Cambria" w:hAnsi="Cambria" w:cs="Arial"/>
                <w:sz w:val="20"/>
              </w:rPr>
              <w:t xml:space="preserve"> informačný</w:t>
            </w:r>
            <w:r w:rsidRPr="00FF4309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FF4309">
              <w:rPr>
                <w:rFonts w:ascii="Cambria" w:hAnsi="Cambria" w:cs="Arial"/>
                <w:sz w:val="20"/>
              </w:rPr>
              <w:t xml:space="preserve">informačného </w:t>
            </w:r>
            <w:r w:rsidRPr="00FF4309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FF4309">
              <w:rPr>
                <w:rFonts w:ascii="Cambria" w:hAnsi="Cambria" w:cs="Arial"/>
                <w:sz w:val="20"/>
              </w:rPr>
              <w:t xml:space="preserve">informačného </w:t>
            </w:r>
            <w:r w:rsidRPr="00FF4309">
              <w:rPr>
                <w:rFonts w:ascii="Cambria" w:hAnsi="Cambria" w:cs="Arial"/>
                <w:sz w:val="20"/>
              </w:rPr>
              <w:t xml:space="preserve">systému </w:t>
            </w:r>
          </w:p>
        </w:tc>
      </w:tr>
      <w:tr w:rsidR="00327CBC" w:rsidRPr="00FF4309" w14:paraId="3E785C99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77C" w14:textId="424E10FF" w:rsidR="00B84420" w:rsidRPr="00FF4309" w:rsidRDefault="00B84420" w:rsidP="00732C30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CD43" w14:textId="77777777" w:rsidR="00923A3A" w:rsidRPr="00E9671E" w:rsidRDefault="00923A3A" w:rsidP="00923A3A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5E905F21" w14:textId="77777777" w:rsidR="00923A3A" w:rsidRPr="00E9671E" w:rsidRDefault="00923A3A" w:rsidP="00923A3A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strata dôvernosti údajov, únik/zničenie údajov alebo narušenie ich integrity alebo</w:t>
            </w:r>
          </w:p>
          <w:p w14:paraId="639E5305" w14:textId="77777777" w:rsidR="00923A3A" w:rsidRPr="00E9671E" w:rsidRDefault="00923A3A" w:rsidP="00923A3A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obmedzenie alebo odmietnutie dostupnosti služby IT alebo</w:t>
            </w:r>
          </w:p>
          <w:p w14:paraId="4BE3E572" w14:textId="77777777" w:rsidR="00923A3A" w:rsidRPr="00E9671E" w:rsidRDefault="00923A3A" w:rsidP="00923A3A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narušenie bezpečnostných mechanizmov alebo</w:t>
            </w:r>
          </w:p>
          <w:p w14:paraId="27608FC6" w14:textId="00E61F35" w:rsidR="00923A3A" w:rsidRPr="00FF4309" w:rsidRDefault="00923A3A" w:rsidP="00923A3A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poškodenie mena NBS</w:t>
            </w:r>
          </w:p>
        </w:tc>
      </w:tr>
      <w:tr w:rsidR="00DB5088" w:rsidRPr="00FF4309" w14:paraId="20A089F0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9ADB9B" w14:textId="071A45CD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E7C5EA" w14:textId="5D5F1F7C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Bezpečnostná hrozba je zverejnená/nahlásená/detegovaná bezpečnostná zraniteľnosť alebo varovanie, ktoré sa týka služby IT alebo niektorého jej komponentu.</w:t>
            </w:r>
          </w:p>
        </w:tc>
      </w:tr>
      <w:tr w:rsidR="00DB5088" w:rsidRPr="00FF4309" w14:paraId="0F9714D3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112CBB" w14:textId="4D997F71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EDC478" w14:textId="14BAF8EE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anonymizačné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 xml:space="preserve"> služby, ťažba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kryptomien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>, a pod.), atď.</w:t>
            </w:r>
          </w:p>
        </w:tc>
      </w:tr>
      <w:tr w:rsidR="00DB5088" w:rsidRPr="00FF4309" w14:paraId="2FFCDDDD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222B12" w14:textId="407D4B7C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osoba,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DB5088" w:rsidRPr="00FF4309" w14:paraId="43ACDF4F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3E18D8F0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EA1228">
              <w:rPr>
                <w:rFonts w:ascii="Cambria" w:hAnsi="Cambria" w:cs="Arial"/>
                <w:sz w:val="20"/>
              </w:rPr>
              <w:t>poskytovateľ</w:t>
            </w:r>
            <w:r w:rsidRPr="00FF4309">
              <w:rPr>
                <w:rFonts w:ascii="Cambria" w:hAnsi="Cambria" w:cs="Arial"/>
                <w:sz w:val="20"/>
              </w:rPr>
              <w:t xml:space="preserve"> povinný začať vykonávať príslušnú činnosť od nahlásenia požiadavky objednávateľa na jej vykonanie.</w:t>
            </w:r>
          </w:p>
        </w:tc>
      </w:tr>
      <w:tr w:rsidR="00DB5088" w:rsidRPr="00FF4309" w14:paraId="04C7E2BE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lastRenderedPageBreak/>
              <w:t>Dodať podľa tejto zmluvy, Odovzdať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dodanie dodávky, uvedenej v popise predmetu zmluvy a záväzkoch poskytovateľa v tejto zmluve poskytovateľom objednávateľovi podľa zmluvných podmienok, záväzkov, štandardov, postupov a oprávnení uvedených v tejto zmluve. Táto skutočnosť musí byť písomne potvrdená poskytovateľom a objednávateľom v príslušnom protokole.</w:t>
            </w:r>
          </w:p>
        </w:tc>
      </w:tr>
      <w:tr w:rsidR="00DB5088" w:rsidRPr="00FF4309" w14:paraId="078A80EC" w14:textId="77777777" w:rsidTr="0064347E">
        <w:trPr>
          <w:cantSplit/>
        </w:trPr>
        <w:tc>
          <w:tcPr>
            <w:tcW w:w="2521" w:type="dxa"/>
          </w:tcPr>
          <w:p w14:paraId="035258A3" w14:textId="74B8D377" w:rsidR="00DB5088" w:rsidRPr="00813ECD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813ECD">
              <w:rPr>
                <w:rFonts w:ascii="Cambria" w:hAnsi="Cambria" w:cs="Arial"/>
                <w:b/>
                <w:bCs/>
                <w:sz w:val="20"/>
              </w:rPr>
              <w:t>Dodan</w:t>
            </w:r>
            <w:r w:rsidR="00B71A18" w:rsidRPr="00813ECD">
              <w:rPr>
                <w:rFonts w:ascii="Cambria" w:hAnsi="Cambria" w:cs="Arial"/>
                <w:b/>
                <w:bCs/>
                <w:sz w:val="20"/>
              </w:rPr>
              <w:t>á Integračná platforma</w:t>
            </w:r>
          </w:p>
        </w:tc>
        <w:tc>
          <w:tcPr>
            <w:tcW w:w="7147" w:type="dxa"/>
          </w:tcPr>
          <w:p w14:paraId="091F0EE1" w14:textId="46434C06" w:rsidR="00DB5088" w:rsidRPr="00813ECD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813ECD">
              <w:rPr>
                <w:rFonts w:ascii="Cambria" w:hAnsi="Cambria" w:cs="Arial"/>
                <w:sz w:val="20"/>
              </w:rPr>
              <w:t xml:space="preserve">znamená </w:t>
            </w:r>
            <w:r w:rsidR="00B71A18" w:rsidRPr="00813ECD">
              <w:rPr>
                <w:rFonts w:ascii="Cambria" w:hAnsi="Cambria" w:cs="Arial"/>
                <w:sz w:val="20"/>
              </w:rPr>
              <w:t>integračné riešenie</w:t>
            </w:r>
            <w:r w:rsidRPr="00813ECD">
              <w:rPr>
                <w:rFonts w:ascii="Cambria" w:hAnsi="Cambria" w:cs="Arial"/>
                <w:sz w:val="20"/>
              </w:rPr>
              <w:t xml:space="preserve"> , ktor</w:t>
            </w:r>
            <w:r w:rsidR="00B71A18" w:rsidRPr="00813ECD">
              <w:rPr>
                <w:rFonts w:ascii="Cambria" w:hAnsi="Cambria" w:cs="Arial"/>
                <w:sz w:val="20"/>
              </w:rPr>
              <w:t>é</w:t>
            </w:r>
            <w:r w:rsidRPr="00813ECD">
              <w:rPr>
                <w:rFonts w:ascii="Cambria" w:hAnsi="Cambria" w:cs="Arial"/>
                <w:sz w:val="20"/>
              </w:rPr>
              <w:t xml:space="preserve"> je dodan</w:t>
            </w:r>
            <w:r w:rsidR="00B71A18" w:rsidRPr="00813ECD">
              <w:rPr>
                <w:rFonts w:ascii="Cambria" w:hAnsi="Cambria" w:cs="Arial"/>
                <w:sz w:val="20"/>
              </w:rPr>
              <w:t>é</w:t>
            </w:r>
            <w:r w:rsidRPr="00813ECD">
              <w:rPr>
                <w:rFonts w:ascii="Cambria" w:hAnsi="Cambria" w:cs="Arial"/>
                <w:sz w:val="20"/>
              </w:rPr>
              <w:t xml:space="preserve"> poskytovateľom Národnej banke Slovenska na základe </w:t>
            </w:r>
            <w:r w:rsidR="004D5BCE" w:rsidRPr="004D5BCE">
              <w:rPr>
                <w:rFonts w:ascii="Cambria" w:hAnsi="Cambria" w:cs="Arial"/>
                <w:sz w:val="20"/>
              </w:rPr>
              <w:t>Zmluvy č. C-NBS1-000-097-136</w:t>
            </w:r>
            <w:r w:rsidRPr="00813ECD">
              <w:rPr>
                <w:rFonts w:ascii="Cambria" w:hAnsi="Cambria" w:cs="Arial"/>
                <w:sz w:val="20"/>
              </w:rPr>
              <w:t xml:space="preserve">, ktorú uzatvorili zmluvné strany súčasne s touto Servisnou zmluvou </w:t>
            </w:r>
            <w:r w:rsidR="004D5BCE" w:rsidRPr="004D5BCE">
              <w:rPr>
                <w:rFonts w:ascii="Cambria" w:hAnsi="Cambria" w:cs="Arial"/>
                <w:sz w:val="20"/>
              </w:rPr>
              <w:t>a zahŕňa v sebe aj dodanie všetkých Integrácií v rámci Rámcovej dodávky diela počas doby trvania Zmluvy č. C-NBS1-000-097-136</w:t>
            </w:r>
            <w:r w:rsidR="004D5BCE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68A0A811" w14:textId="77777777" w:rsidTr="0064347E">
        <w:trPr>
          <w:cantSplit/>
        </w:trPr>
        <w:tc>
          <w:tcPr>
            <w:tcW w:w="2521" w:type="dxa"/>
          </w:tcPr>
          <w:p w14:paraId="67808429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7147" w:type="dxa"/>
          </w:tcPr>
          <w:p w14:paraId="485B10CF" w14:textId="0CBAF422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čas, kedy je služba poskytovateľom poskytovaná objednávateľovi.</w:t>
            </w:r>
          </w:p>
        </w:tc>
      </w:tr>
      <w:tr w:rsidR="00DB5088" w:rsidRPr="00FF4309" w14:paraId="749553EF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každý dokument, materiál, myšlienku, údaje alebo iné informácie vzťahujúce sa k výskumu a vývoju, obchodným tajomstvám, bankovým a služobným tajomstvám alebo obchodným záležitostiam poskytovateľa alebo objednávateľa alebo sú označené ako dôverné, a ktorejkoľvek zo strán dané druhou stranou iba pre účely tejto zmluvy.</w:t>
            </w:r>
          </w:p>
        </w:tc>
      </w:tr>
      <w:tr w:rsidR="00DB5088" w:rsidRPr="00FF4309" w14:paraId="789E8E0F" w14:textId="77777777" w:rsidTr="0064347E">
        <w:trPr>
          <w:cantSplit/>
        </w:trPr>
        <w:tc>
          <w:tcPr>
            <w:tcW w:w="2521" w:type="dxa"/>
          </w:tcPr>
          <w:p w14:paraId="43D67886" w14:textId="7FB8380A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Externý používateľ poskytovateľa</w:t>
            </w:r>
          </w:p>
        </w:tc>
        <w:tc>
          <w:tcPr>
            <w:tcW w:w="7147" w:type="dxa"/>
          </w:tcPr>
          <w:p w14:paraId="15DA73F0" w14:textId="76773BCA" w:rsidR="00DB5088" w:rsidRPr="00EA1228" w:rsidRDefault="00DB5088" w:rsidP="00EA1228">
            <w:pPr>
              <w:pStyle w:val="BodyTextIndent"/>
              <w:spacing w:after="0"/>
              <w:ind w:left="55"/>
              <w:jc w:val="both"/>
              <w:rPr>
                <w:rFonts w:ascii="Cambria" w:hAnsi="Cambria"/>
                <w:sz w:val="20"/>
              </w:rPr>
            </w:pPr>
            <w:r w:rsidRPr="00FF4309">
              <w:rPr>
                <w:rFonts w:ascii="Cambria" w:hAnsi="Cambria"/>
                <w:sz w:val="20"/>
              </w:rPr>
              <w:t>je osoba prostredníctvom ktorej je poskytovateľ oprávnený poskytovať Servisné služby pre objednávateľa.</w:t>
            </w:r>
          </w:p>
        </w:tc>
      </w:tr>
      <w:tr w:rsidR="00DB5088" w:rsidRPr="00FF4309" w14:paraId="123AA0E6" w14:textId="77777777" w:rsidTr="0064347E">
        <w:trPr>
          <w:cantSplit/>
        </w:trPr>
        <w:tc>
          <w:tcPr>
            <w:tcW w:w="2521" w:type="dxa"/>
          </w:tcPr>
          <w:p w14:paraId="3A5F6496" w14:textId="449E7EFC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Chyba</w:t>
            </w:r>
          </w:p>
        </w:tc>
        <w:tc>
          <w:tcPr>
            <w:tcW w:w="7147" w:type="dxa"/>
          </w:tcPr>
          <w:p w14:paraId="78A2A255" w14:textId="7B14EBC9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chybu predstavuje akékoľvek nesplnenie požiadaviek na dodan</w:t>
            </w:r>
            <w:r w:rsidR="004D5BCE">
              <w:rPr>
                <w:rFonts w:ascii="Cambria" w:hAnsi="Cambria" w:cs="Arial"/>
                <w:sz w:val="20"/>
              </w:rPr>
              <w:t>ú Integračnú platformu</w:t>
            </w:r>
            <w:r w:rsidRPr="00FF4309">
              <w:rPr>
                <w:rFonts w:ascii="Cambria" w:hAnsi="Cambria" w:cs="Arial"/>
                <w:sz w:val="20"/>
              </w:rPr>
              <w:t>, nesplnenie stanovených štandardov, neschválené odchýlky od stanovenej funkcionality dodan</w:t>
            </w:r>
            <w:r w:rsidR="004D5BCE">
              <w:rPr>
                <w:rFonts w:ascii="Cambria" w:hAnsi="Cambria" w:cs="Arial"/>
                <w:sz w:val="20"/>
              </w:rPr>
              <w:t xml:space="preserve">ej Integračnej platformy </w:t>
            </w:r>
            <w:r w:rsidRPr="00FF4309">
              <w:rPr>
                <w:rFonts w:ascii="Cambria" w:hAnsi="Cambria" w:cs="Arial"/>
                <w:sz w:val="20"/>
              </w:rPr>
              <w:t>alebo úprav dodan</w:t>
            </w:r>
            <w:r w:rsidR="004D5BCE">
              <w:rPr>
                <w:rFonts w:ascii="Cambria" w:hAnsi="Cambria" w:cs="Arial"/>
                <w:sz w:val="20"/>
              </w:rPr>
              <w:t>ej</w:t>
            </w:r>
            <w:r w:rsidRPr="00FF4309">
              <w:rPr>
                <w:rFonts w:ascii="Cambria" w:hAnsi="Cambria" w:cs="Arial"/>
                <w:sz w:val="20"/>
              </w:rPr>
              <w:t xml:space="preserve"> </w:t>
            </w:r>
            <w:r w:rsidR="004D5BCE">
              <w:rPr>
                <w:rFonts w:ascii="Cambria" w:hAnsi="Cambria" w:cs="Arial"/>
                <w:sz w:val="20"/>
              </w:rPr>
              <w:t>Integračnej platformy</w:t>
            </w:r>
            <w:r w:rsidRPr="00FF4309">
              <w:rPr>
                <w:rFonts w:ascii="Cambria" w:hAnsi="Cambria" w:cs="Arial"/>
                <w:sz w:val="20"/>
              </w:rPr>
              <w:t>, nedodržanie postupov stanovených pre analýzu, návrh, implementovanie, testovanie a spracovanie dokumentácie úprav dodan</w:t>
            </w:r>
            <w:r w:rsidR="004D5BCE">
              <w:rPr>
                <w:rFonts w:ascii="Cambria" w:hAnsi="Cambria" w:cs="Arial"/>
                <w:sz w:val="20"/>
              </w:rPr>
              <w:t>ej</w:t>
            </w:r>
            <w:r w:rsidRPr="00FF4309">
              <w:rPr>
                <w:rFonts w:ascii="Cambria" w:hAnsi="Cambria" w:cs="Arial"/>
                <w:sz w:val="20"/>
              </w:rPr>
              <w:t xml:space="preserve"> </w:t>
            </w:r>
            <w:r w:rsidR="004D5BCE">
              <w:rPr>
                <w:rFonts w:ascii="Cambria" w:hAnsi="Cambria" w:cs="Arial"/>
                <w:sz w:val="20"/>
              </w:rPr>
              <w:t>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 a používanie iných ako stanovených softvérových nástrojov. Chyba predstavuje aj nevykonávanie alebo iba čiastočné vykonávanie funkcií komponentov, modulov, objektov a programov špecifikovaných v sprievodnej dokumentácií dodan</w:t>
            </w:r>
            <w:r w:rsidR="004D5BCE">
              <w:rPr>
                <w:rFonts w:ascii="Cambria" w:hAnsi="Cambria" w:cs="Arial"/>
                <w:sz w:val="20"/>
              </w:rPr>
              <w:t>ej Integračnej platformy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06437582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4EFE3AE3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každá udalosť, ktorá nie je štandardnou funkčnosťou dodávan</w:t>
            </w:r>
            <w:r w:rsidR="00813ECD">
              <w:rPr>
                <w:rFonts w:ascii="Cambria" w:hAnsi="Cambria" w:cs="Arial"/>
                <w:sz w:val="20"/>
              </w:rPr>
              <w:t>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infraštruktúry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 alebo prevádzky osobných počítačov používateľov </w:t>
            </w:r>
            <w:r w:rsidR="00813ECD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 a môže spôsobiť alebo spôsobila výpadok alebo zníženie funkcionality a výkonnostných parametrov dodáva</w:t>
            </w:r>
            <w:r w:rsidR="00813ECD">
              <w:rPr>
                <w:rFonts w:ascii="Cambria" w:hAnsi="Cambria" w:cs="Arial"/>
                <w:sz w:val="20"/>
              </w:rPr>
              <w:t>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infraštruktúry </w:t>
            </w:r>
            <w:r w:rsidR="00813ECD">
              <w:rPr>
                <w:rFonts w:ascii="Cambria" w:hAnsi="Cambria" w:cs="Arial"/>
                <w:sz w:val="20"/>
              </w:rPr>
              <w:t>dodávanej Integračnej platformy</w:t>
            </w:r>
            <w:r w:rsidR="00813ECD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alebo prevádzky osobných počítačov používateľov </w:t>
            </w:r>
            <w:r w:rsidR="00813ECD">
              <w:rPr>
                <w:rFonts w:ascii="Cambria" w:hAnsi="Cambria" w:cs="Arial"/>
                <w:sz w:val="20"/>
              </w:rPr>
              <w:t>dodávanej Integračnej platformy</w:t>
            </w:r>
          </w:p>
        </w:tc>
      </w:tr>
      <w:tr w:rsidR="00DB5088" w:rsidRPr="00FF4309" w14:paraId="58DBEBC4" w14:textId="77777777" w:rsidTr="0064347E">
        <w:trPr>
          <w:cantSplit/>
        </w:trPr>
        <w:tc>
          <w:tcPr>
            <w:tcW w:w="2521" w:type="dxa"/>
          </w:tcPr>
          <w:p w14:paraId="4DCA5FCC" w14:textId="77777777" w:rsidR="00DB5088" w:rsidRPr="00FF4309" w:rsidRDefault="00DB5088" w:rsidP="00217CA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Prevádzkový incident</w:t>
            </w:r>
          </w:p>
        </w:tc>
        <w:tc>
          <w:tcPr>
            <w:tcW w:w="7147" w:type="dxa"/>
          </w:tcPr>
          <w:p w14:paraId="67C9FFBB" w14:textId="77777777" w:rsidR="00DB5088" w:rsidRPr="00FF4309" w:rsidRDefault="00DB5088" w:rsidP="00217CA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nedostatok, chyba  alebo iný incident, ktoré vzniknú :</w:t>
            </w:r>
          </w:p>
          <w:p w14:paraId="4B6494FB" w14:textId="014C14AD" w:rsidR="00DB5088" w:rsidRPr="00FF4309" w:rsidRDefault="00DB5088" w:rsidP="00DB5088">
            <w:pPr>
              <w:pStyle w:val="ListParagraph"/>
              <w:numPr>
                <w:ilvl w:val="0"/>
                <w:numId w:val="9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pri prevádzke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a/alebo v súvislosti s prevádzkou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="00813ECD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v produkčnom prostredí alebo </w:t>
            </w:r>
          </w:p>
          <w:p w14:paraId="6CB4382C" w14:textId="280CDEAE" w:rsidR="00DB5088" w:rsidRPr="00FF4309" w:rsidRDefault="00DB5088" w:rsidP="00DB5088">
            <w:pPr>
              <w:pStyle w:val="ListParagraph"/>
              <w:numPr>
                <w:ilvl w:val="0"/>
                <w:numId w:val="9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pri prevádzke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a/alebo v súvislosti s prevádzkou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="00813ECD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v prostredí, ktoré vzniklo bezprostrednou kópiou produkčného prostredia a boli v ňom použité iba také dodatočné zásahy a/alebo konfiguračné zmeny komponentov a/alebo funkcionalít a/alebo iných parametrov</w:t>
            </w:r>
            <w:r w:rsidR="004D5BCE">
              <w:rPr>
                <w:rFonts w:ascii="Cambria" w:hAnsi="Cambria" w:cs="Arial"/>
                <w:sz w:val="20"/>
              </w:rPr>
              <w:t xml:space="preserve">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ktoré sú v súlade s inštalačnou, konfiguračnou a používateľskou dokumentáciou </w:t>
            </w:r>
            <w:r w:rsidR="00813ECD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“ </w:t>
            </w:r>
            <w:r w:rsidR="004D5BCE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497FBDA4" w14:textId="77777777" w:rsidTr="0064347E">
        <w:trPr>
          <w:cantSplit/>
        </w:trPr>
        <w:tc>
          <w:tcPr>
            <w:tcW w:w="2521" w:type="dxa"/>
          </w:tcPr>
          <w:p w14:paraId="64FFAF67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7147" w:type="dxa"/>
          </w:tcPr>
          <w:p w14:paraId="3FF8DE95" w14:textId="185E8D2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zmluvné strany rozumejú inštaláciu všetkých komponentov, programov a dát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="00813ECD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v databázovej a aplikačnej vrstve </w:t>
            </w:r>
            <w:r w:rsidR="00813ECD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>. Táto inštalácia môže byť vykonaná na testovacom prostredí a/alebo v produkčnom prostredí u objednávateľa.</w:t>
            </w:r>
          </w:p>
        </w:tc>
      </w:tr>
      <w:tr w:rsidR="00DB5088" w:rsidRPr="00FF4309" w14:paraId="21D8C306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lastRenderedPageBreak/>
              <w:t>IT zariadenie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>).</w:t>
            </w:r>
          </w:p>
        </w:tc>
      </w:tr>
      <w:tr w:rsidR="00DB5088" w:rsidRPr="00FF4309" w14:paraId="2F388D70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kompaktný programový produkt, pomocou ktorého sa na prostriedkoch výpočtovej techniky s nosičmi údajov spracúvajú údaje a informácie v elektronickej forme</w:t>
            </w:r>
          </w:p>
        </w:tc>
      </w:tr>
      <w:tr w:rsidR="00DB5088" w:rsidRPr="00FF4309" w14:paraId="07300F1A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Komponent IT infraštruktúry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233DF535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IT zariadenie a/alebo  Základný aplikačný softvér</w:t>
            </w:r>
          </w:p>
        </w:tc>
      </w:tr>
      <w:tr w:rsidR="001D2226" w:rsidRPr="00FF4309" w14:paraId="00CEFB7F" w14:textId="77777777" w:rsidTr="0064347E">
        <w:trPr>
          <w:cantSplit/>
        </w:trPr>
        <w:tc>
          <w:tcPr>
            <w:tcW w:w="2521" w:type="dxa"/>
          </w:tcPr>
          <w:p w14:paraId="2416F405" w14:textId="77777777" w:rsidR="001D2226" w:rsidRPr="00FF4309" w:rsidRDefault="001D2226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t>Komponent</w:t>
            </w:r>
          </w:p>
        </w:tc>
        <w:tc>
          <w:tcPr>
            <w:tcW w:w="7147" w:type="dxa"/>
          </w:tcPr>
          <w:p w14:paraId="1F9C3185" w14:textId="78BB90C1" w:rsidR="001D2226" w:rsidRPr="00FF4309" w:rsidRDefault="001D2226" w:rsidP="00217CA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Komponent predstavuje každý produkt, resp. čiastkový produkt, ktorý je súčasťou </w:t>
            </w:r>
            <w:r w:rsidR="00D36C8E" w:rsidRPr="00FF4309">
              <w:rPr>
                <w:rFonts w:ascii="Cambria" w:hAnsi="Cambria" w:cs="Arial"/>
                <w:sz w:val="20"/>
              </w:rPr>
              <w:t xml:space="preserve">služby IT </w:t>
            </w:r>
            <w:r w:rsidRPr="00FF4309">
              <w:rPr>
                <w:rFonts w:ascii="Cambria" w:hAnsi="Cambria" w:cs="Arial"/>
                <w:sz w:val="20"/>
              </w:rPr>
              <w:t>t.</w:t>
            </w:r>
            <w:r w:rsidR="00D36C8E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j. databázové objekty, programy, objekty a komponenty aplikačnej logiky a služieb, bezpečnostných a prezentačných služieb a dokumenty sprievodnej dokumentácie </w:t>
            </w:r>
            <w:r w:rsidR="00D36C8E" w:rsidRPr="00FF4309">
              <w:rPr>
                <w:rFonts w:ascii="Cambria" w:hAnsi="Cambria" w:cs="Arial"/>
                <w:sz w:val="20"/>
              </w:rPr>
              <w:t>služby IT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  <w:p w14:paraId="46247CA7" w14:textId="7CDE4937" w:rsidR="001D2226" w:rsidRPr="00FF4309" w:rsidRDefault="001D2226" w:rsidP="00217CA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Komponent je definovaný v štruktúre rozkladu </w:t>
            </w:r>
            <w:r w:rsidR="00D36C8E" w:rsidRPr="00FF4309">
              <w:rPr>
                <w:rFonts w:ascii="Cambria" w:hAnsi="Cambria" w:cs="Arial"/>
                <w:sz w:val="20"/>
              </w:rPr>
              <w:t xml:space="preserve">služby IT </w:t>
            </w:r>
            <w:r w:rsidRPr="00FF4309">
              <w:rPr>
                <w:rFonts w:ascii="Cambria" w:hAnsi="Cambria" w:cs="Arial"/>
                <w:sz w:val="20"/>
              </w:rPr>
              <w:t>ako súčasť konfiguračnej položky. Komponenty podliehajú riadeniu konfigurácií len ako súčasť konfiguračnej položky.</w:t>
            </w:r>
          </w:p>
        </w:tc>
      </w:tr>
      <w:tr w:rsidR="00DB5088" w:rsidRPr="00FF4309" w14:paraId="2CF1ABBB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DB5088" w:rsidRPr="00FF4309" w14:paraId="4E9B1F2B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D36C8E" w:rsidRPr="00FF4309" w14:paraId="66CD21AD" w14:textId="77777777" w:rsidTr="0064347E">
        <w:trPr>
          <w:cantSplit/>
          <w:trHeight w:val="1065"/>
        </w:trPr>
        <w:tc>
          <w:tcPr>
            <w:tcW w:w="2521" w:type="dxa"/>
          </w:tcPr>
          <w:p w14:paraId="06FB6B07" w14:textId="77777777" w:rsidR="00D36C8E" w:rsidRPr="00FF4309" w:rsidRDefault="00D36C8E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t>Lehota služby</w:t>
            </w:r>
          </w:p>
        </w:tc>
        <w:tc>
          <w:tcPr>
            <w:tcW w:w="7147" w:type="dxa"/>
          </w:tcPr>
          <w:p w14:paraId="7645975F" w14:textId="0D0AE014" w:rsidR="00D36C8E" w:rsidRPr="00FF4309" w:rsidRDefault="00D36C8E" w:rsidP="00217CA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F4309">
              <w:rPr>
                <w:rFonts w:ascii="Cambria" w:hAnsi="Cambria"/>
                <w:sz w:val="20"/>
                <w:lang w:val="sk-SK" w:eastAsia="en-US"/>
              </w:rPr>
              <w:t xml:space="preserve">Časové obdobie, počas ktorého je </w:t>
            </w:r>
            <w:r w:rsidR="00EA1228">
              <w:rPr>
                <w:rFonts w:ascii="Cambria" w:hAnsi="Cambria"/>
                <w:sz w:val="20"/>
                <w:lang w:val="sk-SK" w:eastAsia="en-US"/>
              </w:rPr>
              <w:t>poskytovateľ</w:t>
            </w:r>
            <w:r w:rsidRPr="00FF4309">
              <w:rPr>
                <w:rFonts w:ascii="Cambria" w:hAnsi="Cambria"/>
                <w:sz w:val="20"/>
                <w:lang w:val="sk-SK" w:eastAsia="en-US"/>
              </w:rPr>
              <w:t xml:space="preserve"> povinný dokončiť vykonávanie príslušnej činnosti od prevzatia požiadavky objednávateľa na jej vykonanie. V prípade zásadného, závažného a nepodstatného incidentu môže </w:t>
            </w:r>
            <w:r w:rsidR="00BF38B2">
              <w:rPr>
                <w:rFonts w:ascii="Cambria" w:hAnsi="Cambria"/>
                <w:sz w:val="20"/>
                <w:lang w:val="sk-SK" w:eastAsia="en-US"/>
              </w:rPr>
              <w:t>poskytovateľ</w:t>
            </w:r>
            <w:r w:rsidR="00BF38B2" w:rsidRPr="00FF4309">
              <w:rPr>
                <w:rFonts w:ascii="Cambria" w:hAnsi="Cambria"/>
                <w:sz w:val="20"/>
                <w:lang w:val="sk-SK" w:eastAsia="en-US"/>
              </w:rPr>
              <w:t xml:space="preserve"> </w:t>
            </w:r>
            <w:r w:rsidRPr="00FF4309">
              <w:rPr>
                <w:rFonts w:ascii="Cambria" w:hAnsi="Cambria"/>
                <w:sz w:val="20"/>
                <w:lang w:val="sk-SK" w:eastAsia="en-US"/>
              </w:rPr>
              <w:t>navrhnúť náhradné riešenie, čím však nie je zbavený povinností vyriešiť incident v náhradnom termíne dohodnutom objednávateľom. Pre účely zmluvných pokút sa poskytnutie náhradného riešenia v prípade odstránenia incidentu chápe ako vyriešenie incidentu.</w:t>
            </w:r>
          </w:p>
        </w:tc>
      </w:tr>
      <w:tr w:rsidR="00DB5088" w:rsidRPr="00FF4309" w14:paraId="3A0086B2" w14:textId="77777777" w:rsidTr="0064347E">
        <w:trPr>
          <w:cantSplit/>
        </w:trPr>
        <w:tc>
          <w:tcPr>
            <w:tcW w:w="2521" w:type="dxa"/>
          </w:tcPr>
          <w:p w14:paraId="30078C4A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7147" w:type="dxa"/>
          </w:tcPr>
          <w:p w14:paraId="2C9DBA4A" w14:textId="027B8299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dokumenty písané poskytovateľom na používanie v spojení s dodan</w:t>
            </w:r>
            <w:r w:rsidR="00BF38B2">
              <w:rPr>
                <w:rFonts w:ascii="Cambria" w:hAnsi="Cambria" w:cs="Arial"/>
                <w:sz w:val="20"/>
              </w:rPr>
              <w:t>ou</w:t>
            </w:r>
            <w:r w:rsidRPr="00FF4309">
              <w:rPr>
                <w:rFonts w:ascii="Cambria" w:hAnsi="Cambria" w:cs="Arial"/>
                <w:sz w:val="20"/>
              </w:rPr>
              <w:t xml:space="preserve"> </w:t>
            </w:r>
            <w:r w:rsidR="00BF38B2">
              <w:rPr>
                <w:rFonts w:ascii="Cambria" w:hAnsi="Cambria" w:cs="Arial"/>
                <w:sz w:val="20"/>
              </w:rPr>
              <w:t>Integračnou platformou</w:t>
            </w:r>
            <w:r w:rsidR="00BF38B2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(licencovaným programom) v</w:t>
            </w:r>
            <w:r w:rsidR="00BF38B2">
              <w:rPr>
                <w:rFonts w:ascii="Cambria" w:hAnsi="Cambria" w:cs="Arial"/>
                <w:sz w:val="20"/>
              </w:rPr>
              <w:t> </w:t>
            </w:r>
            <w:r w:rsidRPr="00FF4309">
              <w:rPr>
                <w:rFonts w:ascii="Cambria" w:hAnsi="Cambria" w:cs="Arial"/>
                <w:sz w:val="20"/>
              </w:rPr>
              <w:t>slovenskom jazyku vrátane používateľských smerníc a</w:t>
            </w:r>
            <w:r w:rsidR="00BF38B2">
              <w:rPr>
                <w:rFonts w:ascii="Cambria" w:hAnsi="Cambria" w:cs="Arial"/>
                <w:sz w:val="20"/>
              </w:rPr>
              <w:t> </w:t>
            </w:r>
            <w:r w:rsidRPr="00FF4309">
              <w:rPr>
                <w:rFonts w:ascii="Cambria" w:hAnsi="Cambria" w:cs="Arial"/>
                <w:sz w:val="20"/>
              </w:rPr>
              <w:t xml:space="preserve">referenčných materiálov dodávaných poskytovateľom objednávateľovi podľa tejto </w:t>
            </w:r>
            <w:r w:rsidR="00BF38B2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>zmluvy.</w:t>
            </w:r>
          </w:p>
        </w:tc>
      </w:tr>
      <w:tr w:rsidR="00DB5088" w:rsidRPr="00FF4309" w14:paraId="7797EBF5" w14:textId="77777777" w:rsidTr="0064347E">
        <w:trPr>
          <w:cantSplit/>
        </w:trPr>
        <w:tc>
          <w:tcPr>
            <w:tcW w:w="2521" w:type="dxa"/>
          </w:tcPr>
          <w:p w14:paraId="413C1E06" w14:textId="31333D8E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 xml:space="preserve">Nastavenia </w:t>
            </w:r>
            <w:r w:rsidR="00BF38B2" w:rsidRPr="004D5BCE">
              <w:rPr>
                <w:rFonts w:ascii="Cambria" w:hAnsi="Cambria" w:cs="Arial"/>
                <w:b/>
                <w:bCs/>
                <w:sz w:val="20"/>
              </w:rPr>
              <w:t>dodanej Integračnej platformy</w:t>
            </w:r>
          </w:p>
        </w:tc>
        <w:tc>
          <w:tcPr>
            <w:tcW w:w="7147" w:type="dxa"/>
          </w:tcPr>
          <w:p w14:paraId="3A58B155" w14:textId="4829A3F2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znamená zmenu parametrov (parametrizácia) vykonaných v používateľskom rozhraní </w:t>
            </w:r>
            <w:r w:rsidR="004D5BCE">
              <w:rPr>
                <w:rFonts w:ascii="Cambria" w:hAnsi="Cambria" w:cs="Arial"/>
                <w:sz w:val="20"/>
              </w:rPr>
              <w:t>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. Nastavenie </w:t>
            </w:r>
            <w:r w:rsidR="00BF38B2">
              <w:rPr>
                <w:rFonts w:ascii="Cambria" w:hAnsi="Cambria" w:cs="Arial"/>
                <w:sz w:val="20"/>
              </w:rPr>
              <w:t>dodanej Integračnej platformy</w:t>
            </w:r>
            <w:r w:rsidR="00BF38B2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musí byť vykonané v súlade s používateľskou dokumentáciou.</w:t>
            </w:r>
          </w:p>
        </w:tc>
      </w:tr>
      <w:tr w:rsidR="00DB5088" w:rsidRPr="00FF4309" w14:paraId="1D67F10B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5DF1CBD6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nedostatok predstavuje akékoľvek nesplnenie požiadaviek na </w:t>
            </w:r>
            <w:r w:rsidR="0064347E">
              <w:rPr>
                <w:rFonts w:ascii="Cambria" w:hAnsi="Cambria" w:cs="Arial"/>
                <w:sz w:val="20"/>
              </w:rPr>
              <w:t>dodávanej Integračnej platforme</w:t>
            </w:r>
            <w:r w:rsidRPr="00FF4309">
              <w:rPr>
                <w:rFonts w:ascii="Cambria" w:hAnsi="Cambria" w:cs="Arial"/>
                <w:sz w:val="20"/>
              </w:rPr>
              <w:t>, nesplnenie stanovených štandardov, neschválené odchýlky od stanovenej funkcionality dodan</w:t>
            </w:r>
            <w:r w:rsidR="0064347E">
              <w:rPr>
                <w:rFonts w:ascii="Cambria" w:hAnsi="Cambria" w:cs="Arial"/>
                <w:sz w:val="20"/>
              </w:rPr>
              <w:t>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nedodržanie postupov stanovených pre analýzu, návrh, implementovanie, testovanie a spracovanie dokumentácie </w:t>
            </w:r>
            <w:r w:rsidR="0064347E">
              <w:rPr>
                <w:rFonts w:ascii="Cambria" w:hAnsi="Cambria" w:cs="Arial"/>
                <w:sz w:val="20"/>
              </w:rPr>
              <w:t>dodávanej Integračnej platformy</w:t>
            </w:r>
            <w:r w:rsidR="0064347E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a používanie iných ako stanovených softvérových nástrojov. Nedostatok predstavuje aj nevykonávanie alebo iba čiastočné vykonávanie funkcií komponentov, modulov, objektov a programov špecifikovaných v sprievodnej dokumentácií </w:t>
            </w:r>
            <w:r w:rsidR="0064347E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  <w:p w14:paraId="14305635" w14:textId="2C4B796A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Nedostatok predstavuje aj nesplnenie skúšobnej podmienky stanovenej na overenie požadovaných funkčných, technických, prevádzkových a </w:t>
            </w:r>
            <w:r w:rsidRPr="00FF4309">
              <w:rPr>
                <w:rFonts w:ascii="Cambria" w:hAnsi="Cambria" w:cs="Arial"/>
                <w:sz w:val="20"/>
              </w:rPr>
              <w:lastRenderedPageBreak/>
              <w:t xml:space="preserve">bezpečnostných vlastností </w:t>
            </w:r>
            <w:r w:rsidR="0064347E">
              <w:rPr>
                <w:rFonts w:ascii="Cambria" w:hAnsi="Cambria" w:cs="Arial"/>
                <w:sz w:val="20"/>
              </w:rPr>
              <w:t>dodávanej Integračnej platformy</w:t>
            </w:r>
            <w:r w:rsidR="0064347E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počas </w:t>
            </w:r>
            <w:r w:rsidR="0064347E">
              <w:rPr>
                <w:rFonts w:ascii="Cambria" w:hAnsi="Cambria" w:cs="Arial"/>
                <w:sz w:val="20"/>
              </w:rPr>
              <w:t>akceptácie</w:t>
            </w:r>
            <w:r w:rsidRPr="00FF4309">
              <w:rPr>
                <w:rFonts w:ascii="Cambria" w:hAnsi="Cambria" w:cs="Arial"/>
                <w:sz w:val="20"/>
              </w:rPr>
              <w:t xml:space="preserve"> </w:t>
            </w:r>
            <w:r w:rsidR="0064347E">
              <w:rPr>
                <w:rFonts w:ascii="Cambria" w:hAnsi="Cambria" w:cs="Arial"/>
                <w:sz w:val="20"/>
              </w:rPr>
              <w:t>dodávanej Integračnej platformy</w:t>
            </w:r>
          </w:p>
        </w:tc>
      </w:tr>
      <w:tr w:rsidR="00D36C8E" w:rsidRPr="00FF4309" w14:paraId="3891C15C" w14:textId="77777777" w:rsidTr="0064347E">
        <w:trPr>
          <w:cantSplit/>
        </w:trPr>
        <w:tc>
          <w:tcPr>
            <w:tcW w:w="2521" w:type="dxa"/>
          </w:tcPr>
          <w:p w14:paraId="14D95FE6" w14:textId="77777777" w:rsidR="00D36C8E" w:rsidRPr="00FF4309" w:rsidRDefault="00D36C8E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lastRenderedPageBreak/>
              <w:t>Obchodná značka</w:t>
            </w:r>
          </w:p>
        </w:tc>
        <w:tc>
          <w:tcPr>
            <w:tcW w:w="7147" w:type="dxa"/>
          </w:tcPr>
          <w:p w14:paraId="7240BCA4" w14:textId="7E9FC1CE" w:rsidR="00D36C8E" w:rsidRPr="00FF4309" w:rsidRDefault="00D36C8E" w:rsidP="00217CA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/>
              </w:rPr>
            </w:pPr>
            <w:r w:rsidRPr="00FF4309">
              <w:rPr>
                <w:rFonts w:ascii="Cambria" w:hAnsi="Cambria"/>
                <w:sz w:val="20"/>
                <w:lang w:val="sk-SK"/>
              </w:rPr>
              <w:t xml:space="preserve">Zmluvné </w:t>
            </w:r>
            <w:r w:rsidRPr="00FF4309">
              <w:rPr>
                <w:rFonts w:ascii="Cambria" w:hAnsi="Cambria"/>
                <w:sz w:val="20"/>
                <w:lang w:val="sk-SK" w:eastAsia="en-US"/>
              </w:rPr>
              <w:t>strany</w:t>
            </w:r>
            <w:r w:rsidRPr="00FF4309">
              <w:rPr>
                <w:rFonts w:ascii="Cambria" w:hAnsi="Cambria"/>
                <w:sz w:val="20"/>
                <w:lang w:val="sk-SK"/>
              </w:rPr>
              <w:t xml:space="preserve"> rozumejú obchodnú značku a obchodné meno systému/systémov používané vo vzťahu a v spojení s</w:t>
            </w:r>
            <w:r w:rsidR="004D5BCE">
              <w:rPr>
                <w:rFonts w:ascii="Cambria" w:hAnsi="Cambria"/>
                <w:sz w:val="20"/>
                <w:lang w:val="sk-SK"/>
              </w:rPr>
              <w:t> </w:t>
            </w:r>
            <w:r w:rsidR="0064347E">
              <w:rPr>
                <w:rFonts w:ascii="Cambria" w:hAnsi="Cambria"/>
                <w:sz w:val="20"/>
                <w:lang w:val="sk-SK"/>
              </w:rPr>
              <w:t>I</w:t>
            </w:r>
            <w:r w:rsidR="004D5BCE">
              <w:rPr>
                <w:rFonts w:ascii="Cambria" w:hAnsi="Cambria"/>
                <w:sz w:val="20"/>
                <w:lang w:val="sk-SK"/>
              </w:rPr>
              <w:t xml:space="preserve">ntegračnou platformou </w:t>
            </w:r>
            <w:r w:rsidRPr="00FF4309">
              <w:rPr>
                <w:rFonts w:ascii="Cambria" w:hAnsi="Cambria"/>
                <w:sz w:val="20"/>
                <w:lang w:val="sk-SK"/>
              </w:rPr>
              <w:t xml:space="preserve">(licencovanými programami) a licencovanými materiálmi a iné obchodné značky alebo obchodné mená, ktoré </w:t>
            </w:r>
            <w:r w:rsidR="00EA1228">
              <w:rPr>
                <w:rFonts w:ascii="Cambria" w:hAnsi="Cambria"/>
                <w:sz w:val="20"/>
                <w:lang w:val="sk-SK"/>
              </w:rPr>
              <w:t>poskytovateľ</w:t>
            </w:r>
            <w:r w:rsidRPr="00FF4309">
              <w:rPr>
                <w:rFonts w:ascii="Cambria" w:hAnsi="Cambria"/>
                <w:sz w:val="20"/>
                <w:lang w:val="sk-SK"/>
              </w:rPr>
              <w:t xml:space="preserve"> používa pri </w:t>
            </w:r>
            <w:r w:rsidR="004D5BCE">
              <w:rPr>
                <w:rFonts w:ascii="Cambria" w:hAnsi="Cambria"/>
                <w:sz w:val="20"/>
                <w:lang w:val="sk-SK"/>
              </w:rPr>
              <w:t>Integračnej platforme</w:t>
            </w:r>
            <w:r w:rsidR="0064347E" w:rsidRPr="00FF4309">
              <w:rPr>
                <w:rFonts w:ascii="Cambria" w:hAnsi="Cambria"/>
                <w:sz w:val="20"/>
                <w:lang w:val="sk-SK"/>
              </w:rPr>
              <w:t xml:space="preserve"> </w:t>
            </w:r>
            <w:r w:rsidRPr="00FF4309">
              <w:rPr>
                <w:rFonts w:ascii="Cambria" w:hAnsi="Cambria"/>
                <w:sz w:val="20"/>
                <w:lang w:val="sk-SK"/>
              </w:rPr>
              <w:t>(licencovaných programoch) alebo licencovaných materiáloch.</w:t>
            </w:r>
          </w:p>
        </w:tc>
      </w:tr>
      <w:tr w:rsidR="00DB5088" w:rsidRPr="00FF4309" w14:paraId="16D27A03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FF4309">
              <w:rPr>
                <w:rFonts w:ascii="Cambria" w:hAnsi="Cambria" w:cs="Arial"/>
                <w:b/>
                <w:bCs/>
                <w:sz w:val="20"/>
              </w:rPr>
              <w:t>Osobodeň</w:t>
            </w:r>
            <w:proofErr w:type="spellEnd"/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zmluvné strany rozumejú práce a služby 1 osoby počas 8 hodín práce počas pracovnej doby (od 8:00 h do 16:00 h) počas pracovných dní, pričom sa počíta iba naplnených osem hodín. </w:t>
            </w:r>
          </w:p>
        </w:tc>
      </w:tr>
      <w:tr w:rsidR="00DB5088" w:rsidRPr="00FF4309" w14:paraId="148598E8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1 osobohodina = 60 minút pracovného času.</w:t>
            </w:r>
          </w:p>
        </w:tc>
      </w:tr>
      <w:tr w:rsidR="00DB5088" w:rsidRPr="00FF4309" w14:paraId="66BDA0C9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2709EC9B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zástupca jednej zo strán tejto </w:t>
            </w:r>
            <w:r w:rsidR="0064347E">
              <w:rPr>
                <w:rFonts w:ascii="Cambria" w:hAnsi="Cambria" w:cs="Arial"/>
                <w:sz w:val="20"/>
              </w:rPr>
              <w:t>Servisnej z</w:t>
            </w:r>
            <w:r w:rsidRPr="00FF4309">
              <w:rPr>
                <w:rFonts w:ascii="Cambria" w:hAnsi="Cambria" w:cs="Arial"/>
                <w:sz w:val="20"/>
              </w:rPr>
              <w:t xml:space="preserve">mluvy zaisťujúca spoluprácu a komunikáciu medzi stranami v rozsahu danom touto </w:t>
            </w:r>
            <w:r w:rsidR="0064347E">
              <w:rPr>
                <w:rFonts w:ascii="Cambria" w:hAnsi="Cambria" w:cs="Arial"/>
                <w:sz w:val="20"/>
              </w:rPr>
              <w:t xml:space="preserve">Servisnou </w:t>
            </w:r>
            <w:r w:rsidRPr="00FF4309">
              <w:rPr>
                <w:rFonts w:ascii="Cambria" w:hAnsi="Cambria" w:cs="Arial"/>
                <w:sz w:val="20"/>
              </w:rPr>
              <w:t>zmluvou a jeho oprávnením.</w:t>
            </w:r>
          </w:p>
        </w:tc>
      </w:tr>
      <w:tr w:rsidR="00DB5088" w:rsidRPr="00FF4309" w14:paraId="6CC34C34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969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Poskytovateľ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E58E" w14:textId="7ABE2E9C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subjekt/organizácia/spoločnosť/firma, ktorá dodáva, zabezpečuje a zodpovedá za dodávky, práce a služby uvedené v popise predmetu tejto </w:t>
            </w:r>
            <w:r w:rsidR="0064347E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 xml:space="preserve">zmluvy a vo svojich záväzkoch v tejto </w:t>
            </w:r>
            <w:r w:rsidR="0064347E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>zmluve pre objednávateľa.</w:t>
            </w:r>
          </w:p>
        </w:tc>
      </w:tr>
      <w:tr w:rsidR="00DB5088" w:rsidRPr="00FF4309" w14:paraId="60C2C12F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178764AD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 1. mája, prvého sviatku vianočného a druhého sviatku vianočného.</w:t>
            </w:r>
          </w:p>
        </w:tc>
      </w:tr>
      <w:tr w:rsidR="00DB5088" w:rsidRPr="00FF4309" w14:paraId="694495B3" w14:textId="77777777" w:rsidTr="0064347E">
        <w:trPr>
          <w:trHeight w:val="300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86EB" w14:textId="0B64E5AA" w:rsidR="00DB5088" w:rsidRPr="00FF4309" w:rsidRDefault="00DB5088" w:rsidP="00DB5088">
            <w:pPr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Pracovný deň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2EB2" w14:textId="1C77D034" w:rsidR="00DB5088" w:rsidRPr="00FF4309" w:rsidRDefault="00DB5088" w:rsidP="00DB5088">
            <w:pPr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za pracovný deň sa považujú všetky pracovné dni podľa kalendára </w:t>
            </w:r>
            <w:r w:rsidR="00D36C8E" w:rsidRPr="00FF4309">
              <w:rPr>
                <w:rFonts w:ascii="Cambria" w:hAnsi="Cambria" w:cs="Arial"/>
                <w:sz w:val="20"/>
              </w:rPr>
              <w:t>ECB (TARGET2)</w:t>
            </w:r>
            <w:r w:rsidRPr="00FF4309">
              <w:rPr>
                <w:rFonts w:ascii="Cambria" w:hAnsi="Cambria" w:cs="Arial"/>
                <w:sz w:val="20"/>
              </w:rPr>
              <w:t>, ktorými sú všetky dni okrem soboty, nedele, Nového roku, Veľkého piatku a Veľkonočného pondelka (podľa kalendára platného v sídle ECB), 1. mája, prvého sviatku vianočného a druhého sviatku vianočného.</w:t>
            </w:r>
          </w:p>
        </w:tc>
      </w:tr>
      <w:tr w:rsidR="00DB5088" w:rsidRPr="00FF4309" w14:paraId="5509F207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2C9E2B98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akákoľvek dodávka uvedená v popise predmetu tejto </w:t>
            </w:r>
            <w:r w:rsidR="007A1CB7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 xml:space="preserve">zmluvy a/alebo akýkoľvek záväzok poskytovateľa boli zo strany poskytovateľa splnené podľa podmienok, štandardov, procedúr a kritérií tejto </w:t>
            </w:r>
            <w:r w:rsidR="007A1CB7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 xml:space="preserve">zmluvy, a ktorých splnenie objednávateľ podľa podmienok tejto </w:t>
            </w:r>
            <w:r w:rsidR="007A1CB7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>zmluvy písomne odsúhlasil (akceptoval),</w:t>
            </w:r>
          </w:p>
          <w:p w14:paraId="01C87403" w14:textId="495919BF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akákoľvek dodávka uvedená v popise predmetu tejto </w:t>
            </w:r>
            <w:r w:rsidR="007A1CB7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>zmluvy a/alebo akýkoľvek záväzok poskytovateľa boli na základe predchádzajúceho objednávateľom odsúhlaseného splnenia (akceptácie) fyzicky dodané poskytovateľom objednávateľovi v mieste objednávateľa a ktoré objednávateľ fyzicky prijal,</w:t>
            </w:r>
          </w:p>
          <w:p w14:paraId="02175AFB" w14:textId="7D18896E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fyzické prijatie písomne odsúhlasenej (akceptovanej) dodávky a/alebo záväzku poskytovateľa potvrdia poskytovateľ a objednávateľ písomne v preberacom protokole.</w:t>
            </w:r>
          </w:p>
        </w:tc>
      </w:tr>
      <w:tr w:rsidR="00DB5088" w:rsidRPr="00FF4309" w14:paraId="5AA2A82C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Prevzatý, Prevzatie, Prevziať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3D49B972" w:rsidR="00DB5088" w:rsidRPr="00FF4309" w:rsidRDefault="00DB5088" w:rsidP="00DB5088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akákoľvek dodávka uvedená v popise predmetu tejto </w:t>
            </w:r>
            <w:r w:rsidR="007A1CB7">
              <w:rPr>
                <w:rFonts w:ascii="Cambria" w:hAnsi="Cambria" w:cs="Arial"/>
                <w:sz w:val="20"/>
              </w:rPr>
              <w:t xml:space="preserve">Servisnej </w:t>
            </w:r>
            <w:r w:rsidRPr="00FF4309">
              <w:rPr>
                <w:rFonts w:ascii="Cambria" w:hAnsi="Cambria" w:cs="Arial"/>
                <w:sz w:val="20"/>
              </w:rPr>
              <w:t xml:space="preserve">zmluvy a/alebo akýkoľvek záväzok poskytovateľa boli zo strany poskytovateľa fyzicky dodané objednávateľovi v mieste objednávateľa za účelom ich prevzatia napr. na informovanie objednávateľa, na vykonanie akceptačného testovania, na vykonanie pripomienkovania a akceptovania dokumentov, na zaistenie </w:t>
            </w:r>
            <w:r w:rsidRPr="00FF4309">
              <w:rPr>
                <w:rFonts w:ascii="Cambria" w:hAnsi="Cambria" w:cs="Arial"/>
                <w:sz w:val="20"/>
              </w:rPr>
              <w:lastRenderedPageBreak/>
              <w:t xml:space="preserve">kvality riadenia projektu a na zaistenie kvality </w:t>
            </w:r>
            <w:r w:rsidR="007A1CB7">
              <w:rPr>
                <w:rFonts w:ascii="Cambria" w:hAnsi="Cambria" w:cs="Arial"/>
                <w:sz w:val="20"/>
              </w:rPr>
              <w:t>dodávanej Integračnej platformy</w:t>
            </w:r>
            <w:r w:rsidR="007A1CB7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a objednávateľ ich k uvedenému účelu fyzicky prevzal. </w:t>
            </w:r>
          </w:p>
          <w:p w14:paraId="6A9E6C03" w14:textId="5679C468" w:rsidR="00DB5088" w:rsidRPr="00FF4309" w:rsidRDefault="00DB5088" w:rsidP="00DB5088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fyzické prevzatie dodávky a/alebo záväzku poskytovateľa potvrdia poskytovateľ a objednávateľ písomne v preberacom protokole. účel a stav dodávky alebo záväzku poskytovateľa musí byť jednoznačne uvedený vo funkčnom prijímacom protokole.</w:t>
            </w:r>
          </w:p>
        </w:tc>
      </w:tr>
      <w:tr w:rsidR="00D36C8E" w:rsidRPr="00FF4309" w14:paraId="67680B3A" w14:textId="77777777" w:rsidTr="0064347E">
        <w:trPr>
          <w:cantSplit/>
        </w:trPr>
        <w:tc>
          <w:tcPr>
            <w:tcW w:w="2521" w:type="dxa"/>
          </w:tcPr>
          <w:p w14:paraId="341B90AC" w14:textId="035949FD" w:rsidR="00D36C8E" w:rsidRPr="00FF4309" w:rsidRDefault="00D36C8E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lastRenderedPageBreak/>
              <w:t>Prevádzkovateľ, prevádzkovateľ</w:t>
            </w:r>
          </w:p>
        </w:tc>
        <w:tc>
          <w:tcPr>
            <w:tcW w:w="7147" w:type="dxa"/>
          </w:tcPr>
          <w:p w14:paraId="2089F426" w14:textId="4FE145C2" w:rsidR="00D36C8E" w:rsidRPr="00FF4309" w:rsidRDefault="00D36C8E" w:rsidP="00217CA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F4309">
              <w:rPr>
                <w:rFonts w:ascii="Cambria" w:hAnsi="Cambria"/>
                <w:sz w:val="20"/>
                <w:lang w:val="sk-SK" w:eastAsia="en-US"/>
              </w:rPr>
              <w:t>Organizačný útvar NBS, ktorý uskutočňuje prevádzku a údržbu služby IT, pričom prevádzkovateľom môže byť aj organizačný útvar odboru informatiky a automatizácie.</w:t>
            </w:r>
          </w:p>
        </w:tc>
      </w:tr>
      <w:tr w:rsidR="00DB5088" w:rsidRPr="00FF4309" w14:paraId="151D8A21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485221BC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produkčnej prevádzke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59914DA9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produkt predstavuje akýkoľvek výstup projektu alebo servisnej služby,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 xml:space="preserve">. softvér, hardvér, dokumentácia a údaje. </w:t>
            </w:r>
          </w:p>
          <w:p w14:paraId="27433D3E" w14:textId="7777777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474CA73A" w14:textId="77777777" w:rsidTr="0064347E">
        <w:trPr>
          <w:cantSplit/>
        </w:trPr>
        <w:tc>
          <w:tcPr>
            <w:tcW w:w="2521" w:type="dxa"/>
          </w:tcPr>
          <w:p w14:paraId="365D39F1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7147" w:type="dxa"/>
          </w:tcPr>
          <w:p w14:paraId="31849B75" w14:textId="102D1221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technická dokumentácia, používateľská dokumentácia, inštalačná dokumentácia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36C8E" w:rsidRPr="00FF4309" w14:paraId="6FAB2F5A" w14:textId="77777777" w:rsidTr="0064347E">
        <w:trPr>
          <w:cantSplit/>
        </w:trPr>
        <w:tc>
          <w:tcPr>
            <w:tcW w:w="2521" w:type="dxa"/>
          </w:tcPr>
          <w:p w14:paraId="4AC82865" w14:textId="77777777" w:rsidR="00D36C8E" w:rsidRPr="00FF4309" w:rsidRDefault="00D36C8E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t>Produkčná inštalácia</w:t>
            </w:r>
          </w:p>
        </w:tc>
        <w:tc>
          <w:tcPr>
            <w:tcW w:w="7147" w:type="dxa"/>
          </w:tcPr>
          <w:p w14:paraId="7BC27FBB" w14:textId="77777777" w:rsidR="00D36C8E" w:rsidRPr="00FF4309" w:rsidRDefault="00D36C8E" w:rsidP="00217CA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F4309">
              <w:rPr>
                <w:rFonts w:ascii="Cambria" w:hAnsi="Cambria"/>
                <w:sz w:val="20"/>
                <w:lang w:val="sk-SK" w:eastAsia="en-US"/>
              </w:rPr>
              <w:t xml:space="preserve">Inštalácia pre účely produktívnej prevádzky, t. j. prevádzky s reálnymi dátami a v reálnom čase </w:t>
            </w:r>
          </w:p>
        </w:tc>
      </w:tr>
      <w:tr w:rsidR="00DB5088" w:rsidRPr="00FF4309" w14:paraId="4D2E84FD" w14:textId="77777777" w:rsidTr="0064347E">
        <w:trPr>
          <w:cantSplit/>
        </w:trPr>
        <w:tc>
          <w:tcPr>
            <w:tcW w:w="2521" w:type="dxa"/>
          </w:tcPr>
          <w:p w14:paraId="4979ECBA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7147" w:type="dxa"/>
          </w:tcPr>
          <w:p w14:paraId="657B7B1A" w14:textId="34457C12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odbor informačných technológií, ktorý je zodpovedný za technické a programové vybavenie pracovísk a zabezpečenie prevádzky IS v NBS.</w:t>
            </w:r>
          </w:p>
        </w:tc>
      </w:tr>
      <w:tr w:rsidR="00DB5088" w:rsidRPr="00FF4309" w14:paraId="57BC5877" w14:textId="77777777" w:rsidTr="0064347E">
        <w:trPr>
          <w:cantSplit/>
        </w:trPr>
        <w:tc>
          <w:tcPr>
            <w:tcW w:w="2521" w:type="dxa"/>
          </w:tcPr>
          <w:p w14:paraId="0CB0B102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7147" w:type="dxa"/>
          </w:tcPr>
          <w:p w14:paraId="71835E0F" w14:textId="7387EAD4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testovacie a/alebo produkčné a/alebo archivačné prostredie objednávateľa, ktoré je inštalované v priestoroch objednávateľa na používanie s </w:t>
            </w:r>
            <w:r w:rsidR="00250950">
              <w:rPr>
                <w:rFonts w:ascii="Cambria" w:hAnsi="Cambria" w:cs="Arial"/>
                <w:sz w:val="20"/>
              </w:rPr>
              <w:t>dodanou Integračnou platformou</w:t>
            </w:r>
            <w:r w:rsidR="00250950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(licencovanými programami). </w:t>
            </w:r>
          </w:p>
        </w:tc>
      </w:tr>
      <w:tr w:rsidR="00DB5088" w:rsidRPr="00FF4309" w14:paraId="644E84AF" w14:textId="77777777" w:rsidTr="0064347E">
        <w:trPr>
          <w:cantSplit/>
        </w:trPr>
        <w:tc>
          <w:tcPr>
            <w:tcW w:w="2521" w:type="dxa"/>
          </w:tcPr>
          <w:p w14:paraId="33277C0A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7147" w:type="dxa"/>
          </w:tcPr>
          <w:p w14:paraId="0CCE603C" w14:textId="36A55D62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proces plánovania, zabezpečenia, kontrolovania a vyhodnocovania činností pri realizácii servisných služieb.</w:t>
            </w:r>
          </w:p>
        </w:tc>
      </w:tr>
      <w:tr w:rsidR="00DB5088" w:rsidRPr="00FF4309" w14:paraId="4C694348" w14:textId="77777777" w:rsidTr="0064347E">
        <w:trPr>
          <w:cantSplit/>
        </w:trPr>
        <w:tc>
          <w:tcPr>
            <w:tcW w:w="2521" w:type="dxa"/>
          </w:tcPr>
          <w:p w14:paraId="334511D4" w14:textId="1764D6AE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Riadenie</w:t>
            </w:r>
            <w:r w:rsidR="00D36C8E" w:rsidRPr="00FF4309">
              <w:rPr>
                <w:rFonts w:ascii="Cambria" w:hAnsi="Cambria" w:cs="Arial"/>
                <w:b/>
                <w:bCs/>
                <w:sz w:val="20"/>
              </w:rPr>
              <w:t xml:space="preserve"> prevádzkových</w:t>
            </w:r>
            <w:r w:rsidRPr="00FF4309">
              <w:rPr>
                <w:rFonts w:ascii="Cambria" w:hAnsi="Cambria" w:cs="Arial"/>
                <w:b/>
                <w:bCs/>
                <w:sz w:val="20"/>
              </w:rPr>
              <w:t xml:space="preserve"> incidentov</w:t>
            </w:r>
          </w:p>
        </w:tc>
        <w:tc>
          <w:tcPr>
            <w:tcW w:w="7147" w:type="dxa"/>
          </w:tcPr>
          <w:p w14:paraId="7BC9CD33" w14:textId="453F44E5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spočíva v: </w:t>
            </w:r>
          </w:p>
          <w:p w14:paraId="07D21FE8" w14:textId="4F1551EF" w:rsidR="00DB5088" w:rsidRPr="00FF4309" w:rsidRDefault="00DB5088" w:rsidP="00DB5088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zaznamenaní incidentov v rámci prevádzky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 a/alebo počas </w:t>
            </w:r>
            <w:r w:rsidR="00250950">
              <w:rPr>
                <w:rFonts w:ascii="Cambria" w:hAnsi="Cambria" w:cs="Arial"/>
                <w:sz w:val="20"/>
              </w:rPr>
              <w:t>akceptácie</w:t>
            </w:r>
            <w:r w:rsidRPr="00FF4309">
              <w:rPr>
                <w:rFonts w:ascii="Cambria" w:hAnsi="Cambria" w:cs="Arial"/>
                <w:sz w:val="20"/>
              </w:rPr>
              <w:t xml:space="preserve"> úpravy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="00250950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 xml:space="preserve">alebo jeho časti </w:t>
            </w:r>
          </w:p>
          <w:p w14:paraId="231EBCDB" w14:textId="77777777" w:rsidR="00DB5088" w:rsidRPr="00FF4309" w:rsidRDefault="00DB5088" w:rsidP="00DB5088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2B113548" w:rsidR="00DB5088" w:rsidRPr="00FF4309" w:rsidRDefault="00DB5088" w:rsidP="00DB5088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vyriešenie incidentov a otestovanie u poskytovateľa tak, aby bolo vylúčené zanesenie nových incidentov do 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="00250950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ako dôsledok riešenia daného incidentu,</w:t>
            </w:r>
          </w:p>
          <w:p w14:paraId="4947FE22" w14:textId="77777777" w:rsidR="00DB5088" w:rsidRPr="00FF4309" w:rsidRDefault="00DB5088" w:rsidP="00DB5088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DB5088" w:rsidRPr="00FF4309" w:rsidRDefault="00DB5088" w:rsidP="00DB5088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DB5088" w:rsidRPr="00FF4309" w14:paraId="3B133470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4AE4E1D6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Sprievodná dokumentácia dodan</w:t>
            </w:r>
            <w:r w:rsidR="004D5BCE">
              <w:rPr>
                <w:rFonts w:ascii="Cambria" w:hAnsi="Cambria" w:cs="Arial"/>
                <w:b/>
                <w:bCs/>
                <w:sz w:val="20"/>
              </w:rPr>
              <w:t>ej Integračnej platformy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0DCFD887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sprievodnú dokumentáciu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="00250950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predstavuje</w:t>
            </w:r>
            <w:r w:rsidR="00250950">
              <w:rPr>
                <w:rFonts w:ascii="Cambria" w:hAnsi="Cambria" w:cs="Arial"/>
                <w:sz w:val="20"/>
              </w:rPr>
              <w:t xml:space="preserve"> najmä</w:t>
            </w:r>
            <w:r w:rsidR="00E57B1A">
              <w:rPr>
                <w:rFonts w:ascii="Cambria" w:hAnsi="Cambria" w:cs="Arial"/>
                <w:sz w:val="20"/>
              </w:rPr>
              <w:t xml:space="preserve"> nie však výlučne</w:t>
            </w:r>
            <w:r w:rsidRPr="00FF4309">
              <w:rPr>
                <w:rFonts w:ascii="Cambria" w:hAnsi="Cambria" w:cs="Arial"/>
                <w:sz w:val="20"/>
              </w:rPr>
              <w:t>:</w:t>
            </w:r>
          </w:p>
          <w:p w14:paraId="7C2DAD61" w14:textId="28D7B919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vývojová dokumentácia </w:t>
            </w:r>
            <w:r w:rsidR="00250950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>,</w:t>
            </w:r>
          </w:p>
          <w:p w14:paraId="7F6156F9" w14:textId="5CBD7E2A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technická dokumentácia </w:t>
            </w:r>
            <w:r w:rsidR="00250950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>,</w:t>
            </w:r>
          </w:p>
          <w:p w14:paraId="54528EA9" w14:textId="20B3CDEB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používateľská dokumentácia </w:t>
            </w:r>
            <w:r w:rsidR="00250950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>,</w:t>
            </w:r>
          </w:p>
          <w:p w14:paraId="7E37BB23" w14:textId="2E87E28C" w:rsidR="00250950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lastRenderedPageBreak/>
              <w:t xml:space="preserve">inštalačná dokumentácia </w:t>
            </w:r>
            <w:r w:rsidR="00250950">
              <w:rPr>
                <w:rFonts w:ascii="Cambria" w:hAnsi="Cambria" w:cs="Arial"/>
                <w:sz w:val="20"/>
              </w:rPr>
              <w:t>dodávanej Integračnej platformy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5199CEC3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lastRenderedPageBreak/>
              <w:t>Softvér tretej strany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441183EC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softvérové programy, ktoré sú zabudované v </w:t>
            </w:r>
            <w:r w:rsidR="00250950">
              <w:rPr>
                <w:rFonts w:ascii="Cambria" w:hAnsi="Cambria" w:cs="Arial"/>
                <w:sz w:val="20"/>
              </w:rPr>
              <w:t>diele</w:t>
            </w:r>
            <w:r w:rsidR="00250950" w:rsidRPr="00FF4309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(licencovanom programe), alebo sú vyžadované na jeho používanie a ich výrobcom alebo autorom nie je poskytovateľ alebo ide o softvérové programy vytvorené poskytovateľom, s ktorými poskytovateľ bežne obchoduje na trhu formou predaja licencií.</w:t>
            </w:r>
          </w:p>
        </w:tc>
      </w:tr>
      <w:tr w:rsidR="00DB5088" w:rsidRPr="00FF4309" w14:paraId="7CAE11AF" w14:textId="77777777" w:rsidTr="0064347E">
        <w:trPr>
          <w:cantSplit/>
        </w:trPr>
        <w:tc>
          <w:tcPr>
            <w:tcW w:w="2521" w:type="dxa"/>
          </w:tcPr>
          <w:p w14:paraId="3BED6A0A" w14:textId="3E86307F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  <w:r w:rsidR="00010B21" w:rsidRPr="00FF4309">
              <w:rPr>
                <w:rFonts w:ascii="Cambria" w:hAnsi="Cambria" w:cs="Arial"/>
                <w:b/>
                <w:bCs/>
                <w:sz w:val="20"/>
              </w:rPr>
              <w:t xml:space="preserve"> a </w:t>
            </w:r>
            <w:proofErr w:type="spellStart"/>
            <w:r w:rsidR="00010B21" w:rsidRPr="00FF4309">
              <w:rPr>
                <w:rFonts w:ascii="Cambria" w:hAnsi="Cambria" w:cs="Arial"/>
                <w:b/>
                <w:bCs/>
                <w:sz w:val="20"/>
              </w:rPr>
              <w:t>ticketov</w:t>
            </w:r>
            <w:proofErr w:type="spellEnd"/>
            <w:r w:rsidR="00010B21" w:rsidRPr="00FF4309">
              <w:rPr>
                <w:rFonts w:ascii="Cambria" w:hAnsi="Cambria" w:cs="Arial"/>
                <w:b/>
                <w:bCs/>
                <w:sz w:val="20"/>
              </w:rPr>
              <w:t xml:space="preserve"> (Service </w:t>
            </w:r>
            <w:proofErr w:type="spellStart"/>
            <w:r w:rsidR="00010B21" w:rsidRPr="00FF4309">
              <w:rPr>
                <w:rFonts w:ascii="Cambria" w:hAnsi="Cambria" w:cs="Arial"/>
                <w:b/>
                <w:bCs/>
                <w:sz w:val="20"/>
              </w:rPr>
              <w:t>Desk</w:t>
            </w:r>
            <w:proofErr w:type="spellEnd"/>
            <w:r w:rsidR="00010B21" w:rsidRPr="00FF4309">
              <w:rPr>
                <w:rFonts w:ascii="Cambria" w:hAnsi="Cambria" w:cs="Arial"/>
                <w:b/>
                <w:bCs/>
                <w:sz w:val="20"/>
              </w:rPr>
              <w:t>)</w:t>
            </w:r>
          </w:p>
        </w:tc>
        <w:tc>
          <w:tcPr>
            <w:tcW w:w="7147" w:type="dxa"/>
          </w:tcPr>
          <w:p w14:paraId="1E09E54A" w14:textId="5EC04663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Pr="00FF4309">
              <w:rPr>
                <w:rFonts w:ascii="Cambria" w:hAnsi="Cambria" w:cs="Arial"/>
                <w:sz w:val="20"/>
              </w:rPr>
              <w:t xml:space="preserve">, alebo v súvislosti s prevádzkou </w:t>
            </w:r>
            <w:r w:rsidR="00250950">
              <w:rPr>
                <w:rFonts w:ascii="Cambria" w:hAnsi="Cambria" w:cs="Arial"/>
                <w:sz w:val="20"/>
              </w:rPr>
              <w:t xml:space="preserve">dodanej Integračnej platformy </w:t>
            </w:r>
            <w:r w:rsidRPr="00FF4309">
              <w:rPr>
                <w:rFonts w:ascii="Cambria" w:hAnsi="Cambria" w:cs="Arial"/>
                <w:sz w:val="20"/>
              </w:rPr>
              <w:t xml:space="preserve">alebo incidentov zistených počas overovania funkčnosti </w:t>
            </w:r>
            <w:r w:rsidR="00250950">
              <w:rPr>
                <w:rFonts w:ascii="Cambria" w:hAnsi="Cambria" w:cs="Arial"/>
                <w:sz w:val="20"/>
              </w:rPr>
              <w:t>dodanej Integračnej platformy</w:t>
            </w:r>
            <w:r w:rsidR="00250950" w:rsidRPr="00FF4309" w:rsidDel="00250950">
              <w:rPr>
                <w:rFonts w:ascii="Cambria" w:hAnsi="Cambria" w:cs="Arial"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(akceptačného testovania).</w:t>
            </w:r>
          </w:p>
        </w:tc>
      </w:tr>
      <w:tr w:rsidR="00DB5088" w:rsidRPr="00FF4309" w14:paraId="32E1686D" w14:textId="77777777" w:rsidTr="0064347E">
        <w:trPr>
          <w:cantSplit/>
        </w:trPr>
        <w:tc>
          <w:tcPr>
            <w:tcW w:w="2521" w:type="dxa"/>
          </w:tcPr>
          <w:p w14:paraId="243D997C" w14:textId="44C57110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7147" w:type="dxa"/>
          </w:tcPr>
          <w:p w14:paraId="6A35F413" w14:textId="43DD3F0C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Softvér - programové </w:t>
            </w:r>
            <w:hyperlink r:id="rId11" w:history="1">
              <w:r w:rsidRPr="00FF4309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FF4309">
              <w:rPr>
                <w:rFonts w:ascii="Cambria" w:hAnsi="Cambria" w:cs="Arial"/>
                <w:sz w:val="20"/>
              </w:rPr>
              <w:t> počítača; vybavenie počítača programovacím jazykom a programom, programové vybavenie počítača (na rozdiel od technického vybavenia, hardvéru)</w:t>
            </w:r>
          </w:p>
        </w:tc>
      </w:tr>
      <w:tr w:rsidR="00DB5088" w:rsidRPr="00FF4309" w14:paraId="059C60D3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3CF00A48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</w:t>
            </w:r>
            <w:r w:rsidR="00250950">
              <w:rPr>
                <w:rFonts w:ascii="Cambria" w:hAnsi="Cambria" w:cs="Arial"/>
                <w:sz w:val="20"/>
              </w:rPr>
              <w:t> akceptácií dodanej Integračnej platformy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30919A79" w14:textId="77777777" w:rsidTr="0064347E">
        <w:trPr>
          <w:cantSplit/>
        </w:trPr>
        <w:tc>
          <w:tcPr>
            <w:tcW w:w="2521" w:type="dxa"/>
          </w:tcPr>
          <w:p w14:paraId="49FD5367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7147" w:type="dxa"/>
          </w:tcPr>
          <w:p w14:paraId="16756432" w14:textId="26F53AB0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účastníkmi servisnej služby sú výhradne zmluvné strany, t. j. objednávateľ a poskytovateľ.</w:t>
            </w:r>
          </w:p>
        </w:tc>
      </w:tr>
      <w:tr w:rsidR="00010B21" w:rsidRPr="00FF4309" w14:paraId="1242C8C3" w14:textId="77777777" w:rsidTr="0064347E">
        <w:trPr>
          <w:cantSplit/>
        </w:trPr>
        <w:tc>
          <w:tcPr>
            <w:tcW w:w="2521" w:type="dxa"/>
          </w:tcPr>
          <w:p w14:paraId="1A16C2A6" w14:textId="289DAA20" w:rsidR="00010B21" w:rsidRPr="00FF4309" w:rsidRDefault="00010B21" w:rsidP="00217CA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F4309">
              <w:rPr>
                <w:rFonts w:ascii="Cambria" w:hAnsi="Cambria"/>
                <w:b/>
                <w:sz w:val="20"/>
                <w:lang w:val="sk-SK"/>
              </w:rPr>
              <w:t>Vlastník, vlastník služby IT</w:t>
            </w:r>
          </w:p>
        </w:tc>
        <w:tc>
          <w:tcPr>
            <w:tcW w:w="7147" w:type="dxa"/>
          </w:tcPr>
          <w:p w14:paraId="76360AA1" w14:textId="1C87A498" w:rsidR="00010B21" w:rsidRPr="00FF4309" w:rsidRDefault="00010B21" w:rsidP="00217CA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F4309">
              <w:rPr>
                <w:rFonts w:ascii="Cambria" w:hAnsi="Cambria"/>
                <w:sz w:val="20"/>
                <w:lang w:val="sk-SK" w:eastAsia="en-US"/>
              </w:rPr>
              <w:t>Organizačný útvar NBS, ktorý stanovuje obsahovú náplň služby IT s oprávnením požadovať jeho modifikácie a v súlade s vnútornými predpismi NBS rozhodovať o prístupe zamestnancov NBS a iných organizácií k </w:t>
            </w:r>
            <w:r w:rsidRPr="00FF4309" w:rsidDel="00D27786">
              <w:rPr>
                <w:rFonts w:ascii="Cambria" w:hAnsi="Cambria"/>
                <w:sz w:val="20"/>
                <w:lang w:val="sk-SK" w:eastAsia="en-US"/>
              </w:rPr>
              <w:t xml:space="preserve"> </w:t>
            </w:r>
            <w:r w:rsidRPr="00FF4309">
              <w:rPr>
                <w:rFonts w:ascii="Cambria" w:hAnsi="Cambria"/>
                <w:sz w:val="20"/>
                <w:lang w:val="sk-SK" w:eastAsia="en-US"/>
              </w:rPr>
              <w:t>údajom v rámci prevádzky služby IT</w:t>
            </w:r>
          </w:p>
        </w:tc>
      </w:tr>
      <w:tr w:rsidR="00DB5088" w:rsidRPr="00FF4309" w14:paraId="6D5B0033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1E5C4B95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zmluvné strany rozumejú výstup vyhotovený </w:t>
            </w:r>
            <w:r w:rsidR="00010B21" w:rsidRPr="00FF4309">
              <w:rPr>
                <w:rFonts w:ascii="Cambria" w:hAnsi="Cambria" w:cs="Arial"/>
                <w:sz w:val="20"/>
              </w:rPr>
              <w:t xml:space="preserve">poskytovateľom </w:t>
            </w:r>
            <w:r w:rsidRPr="00FF4309">
              <w:rPr>
                <w:rFonts w:ascii="Cambria" w:hAnsi="Cambria" w:cs="Arial"/>
                <w:sz w:val="20"/>
              </w:rPr>
              <w:t>vo formáte a grafickej úprave, ktorý je predpísaný internými aktmi riadenia objednávateľa alebo všeobecne záväznými právnymi predpismi</w:t>
            </w:r>
            <w:r w:rsidR="00010B21" w:rsidRPr="00FF4309">
              <w:rPr>
                <w:rFonts w:ascii="Cambria" w:hAnsi="Cambria" w:cs="Arial"/>
                <w:sz w:val="20"/>
              </w:rPr>
              <w:t xml:space="preserve"> na mesačnej báze</w:t>
            </w:r>
            <w:r w:rsidRPr="00FF4309">
              <w:rPr>
                <w:rFonts w:ascii="Cambria" w:hAnsi="Cambria" w:cs="Arial"/>
                <w:sz w:val="20"/>
              </w:rPr>
              <w:t>.</w:t>
            </w:r>
          </w:p>
        </w:tc>
      </w:tr>
      <w:tr w:rsidR="00DB5088" w:rsidRPr="00FF4309" w14:paraId="3A47C1A9" w14:textId="77777777" w:rsidTr="0064347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5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71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1F13A4D1" w:rsidR="00DB5088" w:rsidRPr="00FF4309" w:rsidRDefault="00010B21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/>
                <w:color w:val="000000" w:themeColor="text1"/>
                <w:sz w:val="20"/>
              </w:rPr>
              <w:t>Prostredie prevádzkované objednávateľom, ktoré je primárne určené pre poskytovateľa za účelom analýzy a vývoja rozšírení služby IT. Za týmto účelom objednávateľ sprístupní toto prostredie pracovníkom poskytovateľa prostredníctvom služieb vzdialeného pripojenia a bude dbať na riadnu funkčnosť prostredia a vzdialeného pripojenia.</w:t>
            </w:r>
          </w:p>
        </w:tc>
      </w:tr>
      <w:tr w:rsidR="00DB5088" w:rsidRPr="00FF4309" w14:paraId="6DC71618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A18" w14:textId="316A7015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Zmluva, zmluva, táto zmluva, tejto zmluvy, Servisná zmluva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E0C" w14:textId="5E01B8BF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rozumie sa zmluva číslo </w:t>
            </w:r>
            <w:r w:rsidR="00B47C94" w:rsidRPr="00FF4309">
              <w:rPr>
                <w:rFonts w:ascii="Cambria" w:hAnsi="Cambria" w:cs="Arial"/>
                <w:sz w:val="20"/>
              </w:rPr>
              <w:t>C-NBS1-000-097-137</w:t>
            </w:r>
            <w:r w:rsidRPr="00FF4309">
              <w:rPr>
                <w:rFonts w:ascii="Cambria" w:hAnsi="Cambria" w:cs="Arial"/>
                <w:sz w:val="20"/>
              </w:rPr>
              <w:t>.</w:t>
            </w:r>
            <w:r w:rsidRPr="00FF4309">
              <w:rPr>
                <w:rFonts w:ascii="Cambria" w:hAnsi="Cambria"/>
                <w:b/>
                <w:bCs/>
                <w:i/>
                <w:iCs/>
                <w:sz w:val="20"/>
              </w:rPr>
              <w:t xml:space="preserve"> </w:t>
            </w:r>
            <w:r w:rsidRPr="00FF4309">
              <w:rPr>
                <w:rFonts w:ascii="Cambria" w:hAnsi="Cambria" w:cs="Arial"/>
                <w:sz w:val="20"/>
              </w:rPr>
              <w:t>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písomne.</w:t>
            </w:r>
          </w:p>
        </w:tc>
      </w:tr>
      <w:tr w:rsidR="00DB5088" w:rsidRPr="00FF4309" w14:paraId="1AB464A7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rozumie sa objednávateľ alebo poskytovateľ.</w:t>
            </w:r>
          </w:p>
        </w:tc>
      </w:tr>
      <w:tr w:rsidR="00DB5088" w:rsidRPr="00FF4309" w14:paraId="09F0445E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787" w14:textId="29401A06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ZPB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55B1" w14:textId="2D1F5883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záložné pracovisko banky/záložné pracovisko objednávateľa</w:t>
            </w:r>
          </w:p>
        </w:tc>
      </w:tr>
      <w:tr w:rsidR="00DB5088" w:rsidRPr="00FF4309" w14:paraId="2EC1132D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9983" w14:textId="1115AFBE" w:rsidR="00DB5088" w:rsidRPr="00FF4309" w:rsidRDefault="00DB5088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ZTB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169" w14:textId="01139C66" w:rsidR="00DB5088" w:rsidRPr="00FF4309" w:rsidRDefault="00DB5088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záložné technologické pracovisko banky/záložné technologické pracovisko objednávateľa</w:t>
            </w:r>
          </w:p>
        </w:tc>
      </w:tr>
      <w:tr w:rsidR="00FF4309" w:rsidRPr="00FF4309" w14:paraId="645CB56B" w14:textId="77777777" w:rsidTr="0064347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4429" w14:textId="0F3C8A35" w:rsidR="00FF4309" w:rsidRPr="00FF4309" w:rsidRDefault="00FF4309" w:rsidP="00DB5088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Zmluva o dielo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AAF1" w14:textId="22608333" w:rsidR="00FF4309" w:rsidRPr="00FF4309" w:rsidRDefault="00FF4309" w:rsidP="00DB5088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rozumie sa zmluva číslo C-NBS1-000-097-13</w:t>
            </w:r>
            <w:r>
              <w:rPr>
                <w:rFonts w:ascii="Cambria" w:hAnsi="Cambria" w:cs="Arial"/>
                <w:sz w:val="20"/>
              </w:rPr>
              <w:t>6</w:t>
            </w:r>
            <w:r w:rsidR="004C6B8E">
              <w:rPr>
                <w:rFonts w:ascii="Cambria" w:hAnsi="Cambria" w:cs="Arial"/>
                <w:sz w:val="20"/>
              </w:rPr>
              <w:t>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87DBC" w14:textId="77777777" w:rsidR="00BA014A" w:rsidRDefault="00BA014A">
      <w:r>
        <w:separator/>
      </w:r>
    </w:p>
  </w:endnote>
  <w:endnote w:type="continuationSeparator" w:id="0">
    <w:p w14:paraId="4E9A37D2" w14:textId="77777777" w:rsidR="00BA014A" w:rsidRDefault="00BA0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0BE0" w14:textId="00726016" w:rsidR="00DB5088" w:rsidRPr="00174C1D" w:rsidRDefault="003A177B" w:rsidP="003A177B">
    <w:pPr>
      <w:jc w:val="center"/>
      <w:rPr>
        <w:rFonts w:ascii="Cambria" w:hAnsi="Cambria" w:cstheme="minorHAnsi"/>
        <w:sz w:val="20"/>
        <w:lang w:eastAsia="sk-SK"/>
      </w:rPr>
    </w:pPr>
    <w:r w:rsidRPr="00174C1D">
      <w:rPr>
        <w:rFonts w:ascii="Cambria" w:hAnsi="Cambria" w:cstheme="minorHAnsi"/>
        <w:sz w:val="20"/>
      </w:rPr>
      <w:t xml:space="preserve">Strana </w:t>
    </w:r>
    <w:r w:rsidRPr="00174C1D">
      <w:rPr>
        <w:rFonts w:ascii="Cambria" w:hAnsi="Cambria" w:cstheme="minorHAnsi"/>
        <w:sz w:val="20"/>
      </w:rPr>
      <w:fldChar w:fldCharType="begin"/>
    </w:r>
    <w:r w:rsidRPr="00174C1D">
      <w:rPr>
        <w:rFonts w:ascii="Cambria" w:hAnsi="Cambria" w:cstheme="minorHAnsi"/>
        <w:sz w:val="20"/>
      </w:rPr>
      <w:instrText xml:space="preserve"> PAGE  \* MERGEFORMAT </w:instrText>
    </w:r>
    <w:r w:rsidRPr="00174C1D">
      <w:rPr>
        <w:rFonts w:ascii="Cambria" w:hAnsi="Cambria" w:cstheme="minorHAnsi"/>
        <w:sz w:val="20"/>
      </w:rPr>
      <w:fldChar w:fldCharType="separate"/>
    </w:r>
    <w:r w:rsidRPr="00174C1D">
      <w:rPr>
        <w:rFonts w:ascii="Cambria" w:hAnsi="Cambria" w:cstheme="minorHAnsi"/>
        <w:sz w:val="20"/>
      </w:rPr>
      <w:t>1</w:t>
    </w:r>
    <w:r w:rsidRPr="00174C1D">
      <w:rPr>
        <w:rFonts w:ascii="Cambria" w:hAnsi="Cambria" w:cstheme="minorHAnsi"/>
        <w:sz w:val="20"/>
      </w:rPr>
      <w:fldChar w:fldCharType="end"/>
    </w:r>
    <w:r w:rsidRPr="00174C1D">
      <w:rPr>
        <w:rFonts w:ascii="Cambria" w:hAnsi="Cambria" w:cstheme="minorHAnsi"/>
        <w:sz w:val="20"/>
      </w:rPr>
      <w:t xml:space="preserve"> / </w:t>
    </w:r>
    <w:r w:rsidRPr="00174C1D">
      <w:rPr>
        <w:rFonts w:ascii="Cambria" w:hAnsi="Cambria" w:cstheme="minorHAnsi"/>
        <w:sz w:val="20"/>
      </w:rPr>
      <w:fldChar w:fldCharType="begin"/>
    </w:r>
    <w:r w:rsidRPr="00174C1D">
      <w:rPr>
        <w:rFonts w:ascii="Cambria" w:hAnsi="Cambria" w:cstheme="minorHAnsi"/>
        <w:sz w:val="20"/>
      </w:rPr>
      <w:instrText xml:space="preserve"> SECTIONPAGES  \* MERGEFORMAT </w:instrText>
    </w:r>
    <w:r w:rsidRPr="00174C1D">
      <w:rPr>
        <w:rFonts w:ascii="Cambria" w:hAnsi="Cambria" w:cstheme="minorHAnsi"/>
        <w:sz w:val="20"/>
      </w:rPr>
      <w:fldChar w:fldCharType="separate"/>
    </w:r>
    <w:r w:rsidR="004C6B8E">
      <w:rPr>
        <w:rFonts w:ascii="Cambria" w:hAnsi="Cambria" w:cstheme="minorHAnsi"/>
        <w:noProof/>
        <w:sz w:val="20"/>
      </w:rPr>
      <w:t>7</w:t>
    </w:r>
    <w:r w:rsidRPr="00174C1D">
      <w:rPr>
        <w:rFonts w:ascii="Cambria" w:hAnsi="Cambria" w:cstheme="min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8510" w14:textId="1CC589B4" w:rsidR="00DB5088" w:rsidRPr="00DB5088" w:rsidRDefault="00DB5088" w:rsidP="00DB5088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>
      <w:rPr>
        <w:rFonts w:ascii="Arial Narrow" w:hAnsi="Arial Narrow"/>
        <w:i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89FA7" w14:textId="77777777" w:rsidR="00BA014A" w:rsidRDefault="00BA014A">
      <w:r>
        <w:separator/>
      </w:r>
    </w:p>
  </w:footnote>
  <w:footnote w:type="continuationSeparator" w:id="0">
    <w:p w14:paraId="54E9F810" w14:textId="77777777" w:rsidR="00BA014A" w:rsidRDefault="00BA0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7340" w14:textId="36B7C70C" w:rsidR="00DB5088" w:rsidRPr="00DB5088" w:rsidRDefault="00DB5088" w:rsidP="00DB5088">
    <w:pPr>
      <w:pStyle w:val="BodyText"/>
      <w:jc w:val="right"/>
      <w:rPr>
        <w:rFonts w:ascii="Cambria" w:hAnsi="Cambria"/>
        <w:b/>
        <w:bCs/>
        <w:i/>
        <w:iCs/>
        <w:sz w:val="20"/>
      </w:rPr>
    </w:pPr>
    <w:r w:rsidRPr="00DB5088">
      <w:rPr>
        <w:rFonts w:ascii="Cambria" w:hAnsi="Cambria"/>
        <w:b/>
        <w:bCs/>
        <w:i/>
        <w:iCs/>
        <w:sz w:val="20"/>
      </w:rPr>
      <w:t>Príloha č</w:t>
    </w:r>
    <w:r w:rsidR="003A177B">
      <w:rPr>
        <w:rFonts w:ascii="Cambria" w:hAnsi="Cambria"/>
        <w:b/>
        <w:bCs/>
        <w:i/>
        <w:iCs/>
        <w:sz w:val="20"/>
      </w:rPr>
      <w:t xml:space="preserve">. </w:t>
    </w:r>
    <w:r w:rsidRPr="00DB5088">
      <w:rPr>
        <w:rFonts w:ascii="Cambria" w:hAnsi="Cambria"/>
        <w:b/>
        <w:bCs/>
        <w:i/>
        <w:iCs/>
        <w:sz w:val="20"/>
      </w:rPr>
      <w:t xml:space="preserve">5 k Servisnej zmluve č. </w:t>
    </w:r>
    <w:r w:rsidR="00B47C94" w:rsidRPr="00B47C94">
      <w:rPr>
        <w:rFonts w:ascii="Cambria" w:hAnsi="Cambria"/>
        <w:b/>
        <w:bCs/>
        <w:i/>
        <w:iCs/>
        <w:sz w:val="20"/>
      </w:rPr>
      <w:t>C-NBS1-000-097-137</w:t>
    </w:r>
  </w:p>
  <w:p w14:paraId="5A823218" w14:textId="77777777" w:rsidR="00DB5088" w:rsidRPr="00DB5088" w:rsidRDefault="00DB5088" w:rsidP="00DB5088">
    <w:pPr>
      <w:pStyle w:val="Header"/>
      <w:rPr>
        <w:sz w:val="20"/>
        <w:szCs w:val="20"/>
      </w:rPr>
    </w:pPr>
    <w:r w:rsidRPr="00DB5088">
      <w:rPr>
        <w:noProof/>
        <w:sz w:val="20"/>
        <w:szCs w:val="20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A37AAE" wp14:editId="1DA63BD5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2AF7B3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28B66893" w14:textId="77777777" w:rsidR="00DB5088" w:rsidRPr="00DB5088" w:rsidRDefault="00DB5088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DCD25" w14:textId="7A754DD7" w:rsidR="00DB5088" w:rsidRPr="0054162D" w:rsidRDefault="00DB5088" w:rsidP="00DB5088">
    <w:pPr>
      <w:pStyle w:val="BodyText"/>
      <w:jc w:val="right"/>
      <w:rPr>
        <w:rFonts w:ascii="Cambria" w:hAnsi="Cambria"/>
        <w:i/>
        <w:iCs/>
      </w:rPr>
    </w:pPr>
    <w:r w:rsidRPr="00D82714">
      <w:rPr>
        <w:rFonts w:ascii="Cambria" w:hAnsi="Cambria"/>
        <w:i/>
        <w:iCs/>
      </w:rPr>
      <w:t>Príloha č.</w:t>
    </w:r>
    <w:r>
      <w:rPr>
        <w:rFonts w:ascii="Cambria" w:hAnsi="Cambria"/>
        <w:i/>
        <w:iCs/>
      </w:rPr>
      <w:t>5</w:t>
    </w:r>
    <w:r w:rsidRPr="00D82714">
      <w:rPr>
        <w:rFonts w:ascii="Cambria" w:hAnsi="Cambria"/>
        <w:i/>
        <w:iCs/>
      </w:rPr>
      <w:t xml:space="preserve"> k Servisnej zmluve č.</w:t>
    </w:r>
    <w:r w:rsidRPr="0054162D">
      <w:rPr>
        <w:rFonts w:ascii="Cambria" w:hAnsi="Cambria"/>
        <w:i/>
        <w:iCs/>
      </w:rPr>
      <w:t xml:space="preserve"> </w:t>
    </w:r>
    <w:r w:rsidRPr="00230482">
      <w:rPr>
        <w:rFonts w:ascii="Cambria" w:hAnsi="Cambria" w:cs="Arial"/>
      </w:rPr>
      <w:t>&lt;</w:t>
    </w:r>
    <w:r w:rsidRPr="00542776">
      <w:rPr>
        <w:rFonts w:ascii="Cambria" w:hAnsi="Cambria"/>
        <w:noProof/>
        <w:highlight w:val="yellow"/>
        <w:lang w:eastAsia="sk-SK"/>
      </w:rPr>
      <w:t xml:space="preserve"> </w:t>
    </w:r>
    <w:r w:rsidRPr="008F5D0F">
      <w:rPr>
        <w:rFonts w:ascii="Cambria" w:hAnsi="Cambria"/>
        <w:noProof/>
        <w:highlight w:val="yellow"/>
        <w:lang w:eastAsia="sk-SK"/>
      </w:rPr>
      <w:t>doplní NB</w:t>
    </w:r>
    <w:r>
      <w:rPr>
        <w:rFonts w:ascii="Cambria" w:hAnsi="Cambria"/>
        <w:noProof/>
        <w:highlight w:val="yellow"/>
        <w:lang w:eastAsia="sk-SK"/>
      </w:rPr>
      <w:t>S-OHS</w:t>
    </w:r>
    <w:r w:rsidRPr="00230482">
      <w:rPr>
        <w:rFonts w:ascii="Cambria" w:hAnsi="Cambria" w:cs="Arial"/>
      </w:rPr>
      <w:t xml:space="preserve"> &gt;</w:t>
    </w:r>
  </w:p>
  <w:p w14:paraId="16A3D90A" w14:textId="77777777" w:rsidR="00DB5088" w:rsidRDefault="00DB5088" w:rsidP="00DB508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0470F" wp14:editId="7B82E4C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139EC0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45801649" w14:textId="77777777" w:rsidR="00862084" w:rsidRDefault="00862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5008"/>
    <w:multiLevelType w:val="hybridMultilevel"/>
    <w:tmpl w:val="5D3C3EA8"/>
    <w:lvl w:ilvl="0" w:tplc="FFFFFFFF">
      <w:start w:val="1"/>
      <w:numFmt w:val="decimal"/>
      <w:lvlText w:val="%1."/>
      <w:lvlJc w:val="left"/>
      <w:pPr>
        <w:ind w:left="436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782C53"/>
    <w:multiLevelType w:val="hybridMultilevel"/>
    <w:tmpl w:val="5FBC18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2429051">
    <w:abstractNumId w:val="3"/>
    <w:lvlOverride w:ilvl="0">
      <w:startOverride w:val="1"/>
    </w:lvlOverride>
  </w:num>
  <w:num w:numId="2" w16cid:durableId="17336967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284333">
    <w:abstractNumId w:val="2"/>
  </w:num>
  <w:num w:numId="4" w16cid:durableId="239677217">
    <w:abstractNumId w:val="4"/>
  </w:num>
  <w:num w:numId="5" w16cid:durableId="796484659">
    <w:abstractNumId w:val="6"/>
  </w:num>
  <w:num w:numId="6" w16cid:durableId="755129582">
    <w:abstractNumId w:val="5"/>
  </w:num>
  <w:num w:numId="7" w16cid:durableId="1624120356">
    <w:abstractNumId w:val="1"/>
  </w:num>
  <w:num w:numId="8" w16cid:durableId="2092655014">
    <w:abstractNumId w:val="0"/>
  </w:num>
  <w:num w:numId="9" w16cid:durableId="5319587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10B21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A196A"/>
    <w:rsid w:val="000A739C"/>
    <w:rsid w:val="000B1380"/>
    <w:rsid w:val="000C0279"/>
    <w:rsid w:val="000C3525"/>
    <w:rsid w:val="000C4F0B"/>
    <w:rsid w:val="000D1950"/>
    <w:rsid w:val="000D5826"/>
    <w:rsid w:val="000E1FA9"/>
    <w:rsid w:val="000F422F"/>
    <w:rsid w:val="001050DF"/>
    <w:rsid w:val="00133123"/>
    <w:rsid w:val="0014543F"/>
    <w:rsid w:val="0014590E"/>
    <w:rsid w:val="001564AC"/>
    <w:rsid w:val="00174C1D"/>
    <w:rsid w:val="001904B6"/>
    <w:rsid w:val="001A7BBC"/>
    <w:rsid w:val="001C3CD8"/>
    <w:rsid w:val="001D2226"/>
    <w:rsid w:val="001E0DB7"/>
    <w:rsid w:val="002073B2"/>
    <w:rsid w:val="0023711E"/>
    <w:rsid w:val="00250950"/>
    <w:rsid w:val="00254B6D"/>
    <w:rsid w:val="002932AA"/>
    <w:rsid w:val="002A0F88"/>
    <w:rsid w:val="002C6A44"/>
    <w:rsid w:val="002F5DD1"/>
    <w:rsid w:val="0030089F"/>
    <w:rsid w:val="00311B63"/>
    <w:rsid w:val="00327CBC"/>
    <w:rsid w:val="00360346"/>
    <w:rsid w:val="0036724D"/>
    <w:rsid w:val="0037616A"/>
    <w:rsid w:val="00393188"/>
    <w:rsid w:val="003A177B"/>
    <w:rsid w:val="003A7929"/>
    <w:rsid w:val="003B39B3"/>
    <w:rsid w:val="003C0F54"/>
    <w:rsid w:val="003C40EE"/>
    <w:rsid w:val="003C7430"/>
    <w:rsid w:val="003D55E0"/>
    <w:rsid w:val="003D561A"/>
    <w:rsid w:val="003E5696"/>
    <w:rsid w:val="004012BC"/>
    <w:rsid w:val="00424B37"/>
    <w:rsid w:val="00430F32"/>
    <w:rsid w:val="0044235D"/>
    <w:rsid w:val="00453F40"/>
    <w:rsid w:val="004553D8"/>
    <w:rsid w:val="00456172"/>
    <w:rsid w:val="00473167"/>
    <w:rsid w:val="00482F38"/>
    <w:rsid w:val="00483ECC"/>
    <w:rsid w:val="0048717D"/>
    <w:rsid w:val="00496D8F"/>
    <w:rsid w:val="004C6B8E"/>
    <w:rsid w:val="004D2154"/>
    <w:rsid w:val="004D32ED"/>
    <w:rsid w:val="004D5BCE"/>
    <w:rsid w:val="004F2510"/>
    <w:rsid w:val="00501FA9"/>
    <w:rsid w:val="00510817"/>
    <w:rsid w:val="005118F1"/>
    <w:rsid w:val="00517B20"/>
    <w:rsid w:val="005414CF"/>
    <w:rsid w:val="00546438"/>
    <w:rsid w:val="005563A6"/>
    <w:rsid w:val="00560199"/>
    <w:rsid w:val="00560D2E"/>
    <w:rsid w:val="00560E19"/>
    <w:rsid w:val="00561C44"/>
    <w:rsid w:val="00562F40"/>
    <w:rsid w:val="00573863"/>
    <w:rsid w:val="005747DF"/>
    <w:rsid w:val="00584A12"/>
    <w:rsid w:val="00584CA0"/>
    <w:rsid w:val="00594ED6"/>
    <w:rsid w:val="005A066C"/>
    <w:rsid w:val="005B3B32"/>
    <w:rsid w:val="005B627A"/>
    <w:rsid w:val="005C336F"/>
    <w:rsid w:val="005C41A2"/>
    <w:rsid w:val="005D37B1"/>
    <w:rsid w:val="005E68CA"/>
    <w:rsid w:val="0060433C"/>
    <w:rsid w:val="00605A80"/>
    <w:rsid w:val="0061486B"/>
    <w:rsid w:val="006161B5"/>
    <w:rsid w:val="006164F1"/>
    <w:rsid w:val="0062148A"/>
    <w:rsid w:val="006253F8"/>
    <w:rsid w:val="006315C5"/>
    <w:rsid w:val="00637FF3"/>
    <w:rsid w:val="0064347E"/>
    <w:rsid w:val="00647B53"/>
    <w:rsid w:val="00653594"/>
    <w:rsid w:val="00665D69"/>
    <w:rsid w:val="00675F3B"/>
    <w:rsid w:val="00685EF8"/>
    <w:rsid w:val="00695D6D"/>
    <w:rsid w:val="006A7274"/>
    <w:rsid w:val="006E02BD"/>
    <w:rsid w:val="006E54B0"/>
    <w:rsid w:val="00701191"/>
    <w:rsid w:val="00702AB7"/>
    <w:rsid w:val="00713E46"/>
    <w:rsid w:val="00723448"/>
    <w:rsid w:val="00727381"/>
    <w:rsid w:val="00727833"/>
    <w:rsid w:val="00737720"/>
    <w:rsid w:val="007419DF"/>
    <w:rsid w:val="00762237"/>
    <w:rsid w:val="00762313"/>
    <w:rsid w:val="0076389F"/>
    <w:rsid w:val="007A1CB7"/>
    <w:rsid w:val="007B6BC7"/>
    <w:rsid w:val="0080146C"/>
    <w:rsid w:val="008039A6"/>
    <w:rsid w:val="00813ECD"/>
    <w:rsid w:val="0082050A"/>
    <w:rsid w:val="00832FCC"/>
    <w:rsid w:val="00850747"/>
    <w:rsid w:val="00850F4D"/>
    <w:rsid w:val="0085270A"/>
    <w:rsid w:val="008537C3"/>
    <w:rsid w:val="00862084"/>
    <w:rsid w:val="0087235C"/>
    <w:rsid w:val="00874DC2"/>
    <w:rsid w:val="00880558"/>
    <w:rsid w:val="00881B21"/>
    <w:rsid w:val="00884830"/>
    <w:rsid w:val="00894B60"/>
    <w:rsid w:val="008A401D"/>
    <w:rsid w:val="008A40FE"/>
    <w:rsid w:val="008B0A90"/>
    <w:rsid w:val="008C0782"/>
    <w:rsid w:val="008C0A7C"/>
    <w:rsid w:val="008C1589"/>
    <w:rsid w:val="008C544F"/>
    <w:rsid w:val="008D4687"/>
    <w:rsid w:val="008E0EC9"/>
    <w:rsid w:val="008F3A59"/>
    <w:rsid w:val="009061CF"/>
    <w:rsid w:val="00923A3A"/>
    <w:rsid w:val="0093244C"/>
    <w:rsid w:val="0093657A"/>
    <w:rsid w:val="009405E4"/>
    <w:rsid w:val="009410CA"/>
    <w:rsid w:val="00951F20"/>
    <w:rsid w:val="00960E05"/>
    <w:rsid w:val="00974D49"/>
    <w:rsid w:val="00980183"/>
    <w:rsid w:val="0098255E"/>
    <w:rsid w:val="009853C7"/>
    <w:rsid w:val="00995F11"/>
    <w:rsid w:val="009960AC"/>
    <w:rsid w:val="009B00F2"/>
    <w:rsid w:val="009B2F5C"/>
    <w:rsid w:val="009D2EE0"/>
    <w:rsid w:val="009D39F6"/>
    <w:rsid w:val="009D3DFC"/>
    <w:rsid w:val="009D6425"/>
    <w:rsid w:val="009F6C11"/>
    <w:rsid w:val="00A02453"/>
    <w:rsid w:val="00A21D09"/>
    <w:rsid w:val="00A26F38"/>
    <w:rsid w:val="00A460A2"/>
    <w:rsid w:val="00A50B47"/>
    <w:rsid w:val="00A51B3C"/>
    <w:rsid w:val="00A6379B"/>
    <w:rsid w:val="00A72002"/>
    <w:rsid w:val="00A76900"/>
    <w:rsid w:val="00A82975"/>
    <w:rsid w:val="00A83593"/>
    <w:rsid w:val="00A83B6F"/>
    <w:rsid w:val="00A8647E"/>
    <w:rsid w:val="00AA0C40"/>
    <w:rsid w:val="00AB567A"/>
    <w:rsid w:val="00AB7DF6"/>
    <w:rsid w:val="00AB7FEC"/>
    <w:rsid w:val="00B06E17"/>
    <w:rsid w:val="00B1403B"/>
    <w:rsid w:val="00B142FD"/>
    <w:rsid w:val="00B23D6F"/>
    <w:rsid w:val="00B43020"/>
    <w:rsid w:val="00B44EDB"/>
    <w:rsid w:val="00B47C94"/>
    <w:rsid w:val="00B63F7E"/>
    <w:rsid w:val="00B67A4F"/>
    <w:rsid w:val="00B7045E"/>
    <w:rsid w:val="00B7173A"/>
    <w:rsid w:val="00B71A18"/>
    <w:rsid w:val="00B7357A"/>
    <w:rsid w:val="00B81146"/>
    <w:rsid w:val="00B84420"/>
    <w:rsid w:val="00B84D2F"/>
    <w:rsid w:val="00B8708B"/>
    <w:rsid w:val="00B91085"/>
    <w:rsid w:val="00BA014A"/>
    <w:rsid w:val="00BA7A6A"/>
    <w:rsid w:val="00BB246F"/>
    <w:rsid w:val="00BD44D1"/>
    <w:rsid w:val="00BE1F1B"/>
    <w:rsid w:val="00BF38B2"/>
    <w:rsid w:val="00C453AB"/>
    <w:rsid w:val="00C67819"/>
    <w:rsid w:val="00C80340"/>
    <w:rsid w:val="00C803C6"/>
    <w:rsid w:val="00C85CC2"/>
    <w:rsid w:val="00C876C7"/>
    <w:rsid w:val="00C94D17"/>
    <w:rsid w:val="00C95ADF"/>
    <w:rsid w:val="00CA665C"/>
    <w:rsid w:val="00CB066B"/>
    <w:rsid w:val="00CC05F3"/>
    <w:rsid w:val="00CC4CF5"/>
    <w:rsid w:val="00CD0B6F"/>
    <w:rsid w:val="00CD3710"/>
    <w:rsid w:val="00CD439E"/>
    <w:rsid w:val="00CE6BFA"/>
    <w:rsid w:val="00D16E51"/>
    <w:rsid w:val="00D23B63"/>
    <w:rsid w:val="00D263AA"/>
    <w:rsid w:val="00D3314E"/>
    <w:rsid w:val="00D36C8E"/>
    <w:rsid w:val="00D4655D"/>
    <w:rsid w:val="00D95016"/>
    <w:rsid w:val="00D9519D"/>
    <w:rsid w:val="00DA0F20"/>
    <w:rsid w:val="00DA4131"/>
    <w:rsid w:val="00DB5088"/>
    <w:rsid w:val="00DC573F"/>
    <w:rsid w:val="00DD7135"/>
    <w:rsid w:val="00DE440C"/>
    <w:rsid w:val="00DF1DB0"/>
    <w:rsid w:val="00E02E3F"/>
    <w:rsid w:val="00E07BED"/>
    <w:rsid w:val="00E169BF"/>
    <w:rsid w:val="00E16F58"/>
    <w:rsid w:val="00E178C6"/>
    <w:rsid w:val="00E21614"/>
    <w:rsid w:val="00E36EAD"/>
    <w:rsid w:val="00E522DC"/>
    <w:rsid w:val="00E57B1A"/>
    <w:rsid w:val="00E66F41"/>
    <w:rsid w:val="00E673F1"/>
    <w:rsid w:val="00E80A36"/>
    <w:rsid w:val="00E936D7"/>
    <w:rsid w:val="00EA1228"/>
    <w:rsid w:val="00EA67D0"/>
    <w:rsid w:val="00EA71DE"/>
    <w:rsid w:val="00EB4A1B"/>
    <w:rsid w:val="00EB4E9D"/>
    <w:rsid w:val="00ED1FD1"/>
    <w:rsid w:val="00EE6D07"/>
    <w:rsid w:val="00EE77DE"/>
    <w:rsid w:val="00EF4817"/>
    <w:rsid w:val="00EF4A37"/>
    <w:rsid w:val="00F07FF9"/>
    <w:rsid w:val="00F25962"/>
    <w:rsid w:val="00F307EB"/>
    <w:rsid w:val="00F34A24"/>
    <w:rsid w:val="00F4039C"/>
    <w:rsid w:val="00F4115E"/>
    <w:rsid w:val="00F41EAD"/>
    <w:rsid w:val="00F53E8C"/>
    <w:rsid w:val="00F56BE2"/>
    <w:rsid w:val="00F611A8"/>
    <w:rsid w:val="00F621B1"/>
    <w:rsid w:val="00F64857"/>
    <w:rsid w:val="00F7136C"/>
    <w:rsid w:val="00F842DC"/>
    <w:rsid w:val="00FA1B1E"/>
    <w:rsid w:val="00FA4579"/>
    <w:rsid w:val="00FA76BA"/>
    <w:rsid w:val="00FC12C2"/>
    <w:rsid w:val="00FE4A3D"/>
    <w:rsid w:val="00FF2651"/>
    <w:rsid w:val="00FF33B2"/>
    <w:rsid w:val="00FF4309"/>
    <w:rsid w:val="00FF4D7B"/>
    <w:rsid w:val="0A8A93F2"/>
    <w:rsid w:val="16850E8B"/>
    <w:rsid w:val="25223498"/>
    <w:rsid w:val="2B8BB4A0"/>
    <w:rsid w:val="3343619E"/>
    <w:rsid w:val="3518726A"/>
    <w:rsid w:val="3F0A3FEC"/>
    <w:rsid w:val="454F0591"/>
    <w:rsid w:val="54AB57B1"/>
    <w:rsid w:val="59A3F9B4"/>
    <w:rsid w:val="5B0170D8"/>
    <w:rsid w:val="6928C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88508DF9-1BCB-48E0-B542-183BB1F1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link w:val="FooterChar"/>
    <w:uiPriority w:val="99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uiPriority w:val="99"/>
    <w:semiHidden/>
    <w:rsid w:val="00145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84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4420"/>
    <w:rPr>
      <w:rFonts w:ascii="Courier New" w:hAnsi="Courier New" w:cs="Courier New"/>
      <w:lang w:eastAsia="sk-SK"/>
    </w:rPr>
  </w:style>
  <w:style w:type="character" w:customStyle="1" w:styleId="y2iqfc">
    <w:name w:val="y2iqfc"/>
    <w:basedOn w:val="DefaultParagraphFont"/>
    <w:rsid w:val="00B84420"/>
  </w:style>
  <w:style w:type="paragraph" w:styleId="BodyTextIndent">
    <w:name w:val="Body Text Indent"/>
    <w:basedOn w:val="Normal"/>
    <w:link w:val="BodyTextIndentChar"/>
    <w:rsid w:val="0080146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0146C"/>
    <w:rPr>
      <w:sz w:val="24"/>
      <w:lang w:eastAsia="en-US"/>
    </w:rPr>
  </w:style>
  <w:style w:type="paragraph" w:styleId="BodyText">
    <w:name w:val="Body Text"/>
    <w:basedOn w:val="Normal"/>
    <w:link w:val="BodyTextChar"/>
    <w:uiPriority w:val="99"/>
    <w:rsid w:val="00DB50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5088"/>
    <w:rPr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DB5088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DB5088"/>
    <w:rPr>
      <w:sz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5088"/>
    <w:rPr>
      <w:lang w:eastAsia="en-US"/>
    </w:rPr>
  </w:style>
  <w:style w:type="paragraph" w:styleId="Revision">
    <w:name w:val="Revision"/>
    <w:hidden/>
    <w:uiPriority w:val="99"/>
    <w:semiHidden/>
    <w:rsid w:val="00DB5088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B5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lovnik.juls.savba.sk/?w=vybavenie&amp;c=ye2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A28370951ADE498AC93BFA64392085" ma:contentTypeVersion="10" ma:contentTypeDescription="Create a new document." ma:contentTypeScope="" ma:versionID="4491bfc25c0d9e4ee06b7663e6da5355">
  <xsd:schema xmlns:xsd="http://www.w3.org/2001/XMLSchema" xmlns:xs="http://www.w3.org/2001/XMLSchema" xmlns:p="http://schemas.microsoft.com/office/2006/metadata/properties" xmlns:ns2="f45498cf-294f-470c-905d-b5989e476b76" xmlns:ns3="1798cf0b-927b-4267-9336-9078188bd9d4" targetNamespace="http://schemas.microsoft.com/office/2006/metadata/properties" ma:root="true" ma:fieldsID="9a945ccbfd9f608dc65abdbc84fb1f5d" ns2:_="" ns3:_="">
    <xsd:import namespace="f45498cf-294f-470c-905d-b5989e476b76"/>
    <xsd:import namespace="1798cf0b-927b-4267-9336-9078188bd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498cf-294f-470c-905d-b5989e476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8cf0b-927b-4267-9336-9078188bd9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EF138-5071-4FFE-A827-7598D02BB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498cf-294f-470c-905d-b5989e476b76"/>
    <ds:schemaRef ds:uri="1798cf0b-927b-4267-9336-9078188bd9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94EE4-939B-406F-B026-96909A89DC02}">
  <ds:schemaRefs>
    <ds:schemaRef ds:uri="http://purl.org/dc/elements/1.1/"/>
    <ds:schemaRef ds:uri="http://schemas.microsoft.com/office/2006/metadata/properties"/>
    <ds:schemaRef ds:uri="5c304732-8275-4fcf-be61-22440abb30c1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03def969-6f9b-4b84-989a-285a83158f45"/>
    <ds:schemaRef ds:uri="CAD7385A-07AE-43A6-842E-8B888B839729"/>
    <ds:schemaRef ds:uri="http://schemas.microsoft.com/sharepoint/v3"/>
    <ds:schemaRef ds:uri="http://schemas.microsoft.com/sharepoint/v3/fields"/>
    <ds:schemaRef ds:uri="d4dc1984-4e7d-439a-9f8d-a1b7ed460e00"/>
  </ds:schemaRefs>
</ds:datastoreItem>
</file>

<file path=customXml/itemProps3.xml><?xml version="1.0" encoding="utf-8"?>
<ds:datastoreItem xmlns:ds="http://schemas.openxmlformats.org/officeDocument/2006/customXml" ds:itemID="{240C8360-EFB6-4E2C-AFD5-D8DAFD1A43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2223</Words>
  <Characters>16139</Characters>
  <Application>Microsoft Office Word</Application>
  <DocSecurity>0</DocSecurity>
  <Lines>134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home</Company>
  <LinksUpToDate>false</LinksUpToDate>
  <CharactersWithSpaces>18326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Tatino</dc:creator>
  <cp:keywords/>
  <cp:lastModifiedBy>Vršanská Daniela</cp:lastModifiedBy>
  <cp:revision>47</cp:revision>
  <cp:lastPrinted>2014-04-10T09:46:00Z</cp:lastPrinted>
  <dcterms:created xsi:type="dcterms:W3CDTF">2022-05-31T11:40:00Z</dcterms:created>
  <dcterms:modified xsi:type="dcterms:W3CDTF">2024-05-17T09:29:00Z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0x0101004FA28370951ADE498AC93BFA64392085</vt:lpwstr>
  </property>
  <property fmtid="{D5CDD505-2E9C-101B-9397-08002B2CF9AE}" pid="3" name="_dlc_DocIdItemGuid">
    <vt:lpwstr>c2f4288f-6e1c-4542-a6c4-d34dee36e77c</vt:lpwstr>
  </property>
</Properties>
</file>