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ABDF" w14:textId="77777777" w:rsidR="00265C13" w:rsidRPr="00540AF3" w:rsidRDefault="00265C13" w:rsidP="00265C13">
      <w:pPr>
        <w:pStyle w:val="Zkladntext1"/>
        <w:shd w:val="clear" w:color="auto" w:fill="auto"/>
        <w:spacing w:after="240"/>
        <w:jc w:val="right"/>
      </w:pPr>
      <w:r w:rsidRPr="00540AF3">
        <w:rPr>
          <w:noProof/>
          <w:lang w:eastAsia="sk-SK"/>
        </w:rPr>
        <w:drawing>
          <wp:anchor distT="0" distB="0" distL="114300" distR="114300" simplePos="0" relativeHeight="251658240" behindDoc="0" locked="0" layoutInCell="1" allowOverlap="1" wp14:anchorId="6140AC44" wp14:editId="091D9622">
            <wp:simplePos x="0" y="0"/>
            <wp:positionH relativeFrom="column">
              <wp:posOffset>-888171</wp:posOffset>
            </wp:positionH>
            <wp:positionV relativeFrom="page">
              <wp:posOffset>6985</wp:posOffset>
            </wp:positionV>
            <wp:extent cx="7531100" cy="1306195"/>
            <wp:effectExtent l="0" t="0" r="0" b="825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A03">
        <w:t>Príloha č. 5</w:t>
      </w:r>
    </w:p>
    <w:p w14:paraId="058C777C" w14:textId="77777777" w:rsidR="00265C13" w:rsidRPr="00265C13" w:rsidRDefault="00265C13" w:rsidP="00265C13">
      <w:pPr>
        <w:pStyle w:val="Zkladntext1"/>
        <w:shd w:val="clear" w:color="auto" w:fill="auto"/>
        <w:spacing w:after="240"/>
        <w:jc w:val="center"/>
        <w:rPr>
          <w:b/>
          <w:bCs/>
          <w:sz w:val="28"/>
          <w:szCs w:val="28"/>
        </w:rPr>
      </w:pPr>
      <w:r w:rsidRPr="00265C13">
        <w:rPr>
          <w:b/>
          <w:bCs/>
          <w:sz w:val="28"/>
          <w:szCs w:val="28"/>
        </w:rPr>
        <w:t xml:space="preserve">Čestné vyhlásenie </w:t>
      </w:r>
    </w:p>
    <w:p w14:paraId="78D091FB" w14:textId="5A4A7359" w:rsidR="00265C13" w:rsidRPr="00265C13" w:rsidRDefault="005832CF" w:rsidP="00265C13">
      <w:pPr>
        <w:pStyle w:val="Zkladntext1"/>
        <w:jc w:val="center"/>
        <w:rPr>
          <w:b/>
          <w:bCs/>
          <w:sz w:val="28"/>
          <w:szCs w:val="28"/>
        </w:rPr>
      </w:pPr>
      <w:r>
        <w:rPr>
          <w:b/>
          <w:bCs/>
          <w:sz w:val="28"/>
          <w:szCs w:val="28"/>
        </w:rPr>
        <w:t xml:space="preserve">ku kvalifikácií do </w:t>
      </w:r>
      <w:r w:rsidR="00265C13" w:rsidRPr="00265C13">
        <w:rPr>
          <w:b/>
          <w:bCs/>
          <w:sz w:val="28"/>
          <w:szCs w:val="28"/>
        </w:rPr>
        <w:t>dynamického nákupného systému s názvom</w:t>
      </w:r>
    </w:p>
    <w:p w14:paraId="747D4464" w14:textId="6F044D25" w:rsidR="00265C13" w:rsidRPr="00265C13" w:rsidRDefault="00265C13" w:rsidP="00265C13">
      <w:pPr>
        <w:pStyle w:val="Zkladntext1"/>
        <w:shd w:val="clear" w:color="auto" w:fill="auto"/>
        <w:spacing w:after="0"/>
        <w:jc w:val="center"/>
        <w:rPr>
          <w:b/>
        </w:rPr>
      </w:pPr>
      <w:r w:rsidRPr="00265C13">
        <w:rPr>
          <w:b/>
          <w:bCs/>
          <w:sz w:val="28"/>
          <w:szCs w:val="28"/>
        </w:rPr>
        <w:t>„</w:t>
      </w:r>
      <w:r w:rsidR="005832CF">
        <w:rPr>
          <w:b/>
          <w:bCs/>
          <w:sz w:val="28"/>
          <w:szCs w:val="28"/>
        </w:rPr>
        <w:t>Opravy čerpadiel a miešadiel</w:t>
      </w:r>
      <w:r w:rsidRPr="00265C13">
        <w:rPr>
          <w:b/>
          <w:bCs/>
          <w:sz w:val="28"/>
          <w:szCs w:val="28"/>
        </w:rPr>
        <w:t>“</w:t>
      </w:r>
    </w:p>
    <w:p w14:paraId="04B59410" w14:textId="77777777" w:rsidR="00716F0C" w:rsidRPr="00265C13" w:rsidRDefault="00716F0C" w:rsidP="00773288">
      <w:pPr>
        <w:pStyle w:val="Zkladntext1"/>
        <w:shd w:val="clear" w:color="auto" w:fill="auto"/>
        <w:spacing w:after="0"/>
        <w:rPr>
          <w:b/>
          <w:sz w:val="20"/>
          <w:szCs w:val="20"/>
        </w:rPr>
      </w:pPr>
    </w:p>
    <w:p w14:paraId="44FDD44C" w14:textId="77777777" w:rsidR="00265C13" w:rsidRPr="00265C13" w:rsidRDefault="00265C13" w:rsidP="00773288">
      <w:pPr>
        <w:pStyle w:val="Zkladntext1"/>
        <w:shd w:val="clear" w:color="auto" w:fill="auto"/>
        <w:spacing w:after="0"/>
        <w:rPr>
          <w:b/>
          <w:sz w:val="20"/>
          <w:szCs w:val="20"/>
        </w:rPr>
      </w:pPr>
    </w:p>
    <w:p w14:paraId="58C64113" w14:textId="77777777"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14:paraId="48BB4B18" w14:textId="77777777" w:rsidR="00773288" w:rsidRPr="00265C13" w:rsidRDefault="00773288" w:rsidP="00773288">
      <w:pPr>
        <w:pStyle w:val="Zkladntext1"/>
        <w:shd w:val="clear" w:color="auto" w:fill="auto"/>
        <w:spacing w:after="0"/>
        <w:rPr>
          <w:szCs w:val="20"/>
        </w:rPr>
      </w:pPr>
    </w:p>
    <w:p w14:paraId="543CC5B6" w14:textId="77777777"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14:paraId="3A79C9D5" w14:textId="77777777" w:rsidR="00773288" w:rsidRPr="00265C13" w:rsidRDefault="00773288" w:rsidP="00773288">
      <w:pPr>
        <w:rPr>
          <w:rFonts w:ascii="Arial" w:hAnsi="Arial" w:cs="Arial"/>
          <w:sz w:val="22"/>
          <w:szCs w:val="20"/>
        </w:rPr>
      </w:pPr>
      <w:r w:rsidRPr="00265C13">
        <w:rPr>
          <w:rFonts w:ascii="Arial" w:hAnsi="Arial" w:cs="Arial"/>
          <w:sz w:val="22"/>
          <w:szCs w:val="20"/>
        </w:rPr>
        <w:t>Sídlo:</w:t>
      </w:r>
    </w:p>
    <w:p w14:paraId="6D40CDBD" w14:textId="77777777" w:rsidR="00773288" w:rsidRPr="00265C13" w:rsidRDefault="00773288" w:rsidP="00773288">
      <w:pPr>
        <w:rPr>
          <w:rFonts w:ascii="Arial" w:hAnsi="Arial" w:cs="Arial"/>
          <w:sz w:val="22"/>
          <w:szCs w:val="20"/>
        </w:rPr>
      </w:pPr>
      <w:r w:rsidRPr="00265C13">
        <w:rPr>
          <w:rFonts w:ascii="Arial" w:hAnsi="Arial" w:cs="Arial"/>
          <w:sz w:val="22"/>
          <w:szCs w:val="20"/>
        </w:rPr>
        <w:t>IČO:</w:t>
      </w:r>
    </w:p>
    <w:p w14:paraId="6A21B1EF" w14:textId="77777777"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14:paraId="29B41BC8" w14:textId="77777777"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14:paraId="7D9A8817" w14:textId="77777777" w:rsidR="00773288" w:rsidRPr="00265C13" w:rsidRDefault="00773288" w:rsidP="007D5480">
      <w:pPr>
        <w:pStyle w:val="Zkladntext1"/>
        <w:shd w:val="clear" w:color="auto" w:fill="auto"/>
        <w:spacing w:after="0"/>
        <w:rPr>
          <w:szCs w:val="20"/>
        </w:rPr>
      </w:pPr>
    </w:p>
    <w:p w14:paraId="2C63E2A7" w14:textId="77777777"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14:paraId="0EFAE3BB" w14:textId="77777777" w:rsidR="00D476F2" w:rsidRPr="00265C13" w:rsidRDefault="00D476F2" w:rsidP="002F61A5">
      <w:pPr>
        <w:jc w:val="both"/>
        <w:rPr>
          <w:rFonts w:ascii="Arial" w:eastAsia="Arial" w:hAnsi="Arial" w:cs="Arial"/>
          <w:sz w:val="22"/>
          <w:szCs w:val="20"/>
          <w:lang w:eastAsia="en-US"/>
        </w:rPr>
      </w:pPr>
    </w:p>
    <w:p w14:paraId="49FF4637" w14:textId="77777777" w:rsidR="00773288" w:rsidRPr="00265C13" w:rsidRDefault="00000000"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14:paraId="6135782E" w14:textId="77777777" w:rsidR="00F62AF7" w:rsidRPr="00265C13" w:rsidRDefault="00F62AF7" w:rsidP="0000663C">
      <w:pPr>
        <w:ind w:left="567" w:hanging="567"/>
        <w:jc w:val="both"/>
        <w:rPr>
          <w:rFonts w:ascii="Arial" w:hAnsi="Arial" w:cs="Arial"/>
          <w:sz w:val="22"/>
          <w:szCs w:val="20"/>
        </w:rPr>
      </w:pPr>
    </w:p>
    <w:p w14:paraId="5B50727F" w14:textId="77777777" w:rsidR="00265C13" w:rsidRDefault="00000000" w:rsidP="00F0347E">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xml:space="preserve">, ktorá je nižšie identifikovaná, a táto iná osoba </w:t>
      </w:r>
      <w:r w:rsidR="00A90062" w:rsidRPr="00F13A03">
        <w:rPr>
          <w:rFonts w:ascii="Arial" w:eastAsia="Arial" w:hAnsi="Arial" w:cs="Arial"/>
          <w:b/>
          <w:sz w:val="22"/>
          <w:szCs w:val="20"/>
          <w:lang w:eastAsia="en-US"/>
        </w:rPr>
        <w:t>spĺňa</w:t>
      </w:r>
      <w:r w:rsidR="00A90062" w:rsidRPr="00265C13">
        <w:rPr>
          <w:rFonts w:ascii="Arial" w:eastAsia="Arial" w:hAnsi="Arial" w:cs="Arial"/>
          <w:sz w:val="22"/>
          <w:szCs w:val="20"/>
          <w:lang w:eastAsia="en-US"/>
        </w:rPr>
        <w:t xml:space="preserve">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14:paraId="384560A8" w14:textId="77777777" w:rsidR="00F0347E" w:rsidRPr="00265C13" w:rsidRDefault="00F0347E" w:rsidP="00F0347E">
      <w:pPr>
        <w:ind w:left="567" w:hanging="567"/>
        <w:jc w:val="both"/>
        <w:rPr>
          <w:rFonts w:ascii="Arial" w:eastAsia="Arial" w:hAnsi="Arial" w:cs="Arial"/>
          <w:sz w:val="22"/>
          <w:szCs w:val="20"/>
          <w:lang w:eastAsia="en-US"/>
        </w:rPr>
      </w:pPr>
    </w:p>
    <w:p w14:paraId="5899E3CC" w14:textId="77777777"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14:paraId="22C4EFFD" w14:textId="77777777"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14:paraId="78377F72" w14:textId="77777777" w:rsidR="00F62AF7"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14:paraId="04211DA5" w14:textId="77777777" w:rsidR="00F13A03" w:rsidRPr="00F13A03" w:rsidRDefault="00F13A03" w:rsidP="00F13A03">
      <w:pPr>
        <w:jc w:val="both"/>
        <w:rPr>
          <w:rFonts w:ascii="Arial" w:eastAsia="Arial" w:hAnsi="Arial" w:cs="Arial"/>
          <w:sz w:val="22"/>
          <w:szCs w:val="22"/>
          <w:lang w:eastAsia="en-US"/>
        </w:rPr>
      </w:pPr>
    </w:p>
    <w:p w14:paraId="057B05B5" w14:textId="77777777" w:rsidR="00F13A03" w:rsidRPr="00F13A03" w:rsidRDefault="00000000" w:rsidP="00F13A03">
      <w:pPr>
        <w:ind w:left="567" w:hanging="567"/>
        <w:jc w:val="both"/>
        <w:rPr>
          <w:rFonts w:ascii="Arial" w:eastAsia="Arial" w:hAnsi="Arial" w:cs="Arial"/>
          <w:sz w:val="22"/>
          <w:szCs w:val="22"/>
        </w:rPr>
      </w:pPr>
      <w:sdt>
        <w:sdtPr>
          <w:rPr>
            <w:rFonts w:ascii="Arial" w:hAnsi="Arial" w:cs="Arial"/>
            <w:sz w:val="22"/>
            <w:szCs w:val="22"/>
          </w:rPr>
          <w:id w:val="-1749887269"/>
          <w14:checkbox>
            <w14:checked w14:val="0"/>
            <w14:checkedState w14:val="2612" w14:font="MS Gothic"/>
            <w14:uncheckedState w14:val="2610" w14:font="MS Gothic"/>
          </w14:checkbox>
        </w:sdtPr>
        <w:sdtContent>
          <w:r w:rsidR="00F13A03" w:rsidRPr="00F13A03">
            <w:rPr>
              <w:rFonts w:ascii="Segoe UI Symbol" w:eastAsia="MS Gothic" w:hAnsi="Segoe UI Symbol" w:cs="Segoe UI Symbol"/>
              <w:sz w:val="22"/>
              <w:szCs w:val="22"/>
            </w:rPr>
            <w:t>☐</w:t>
          </w:r>
        </w:sdtContent>
      </w:sdt>
      <w:r w:rsidR="00F13A03" w:rsidRPr="00F13A03">
        <w:rPr>
          <w:rFonts w:ascii="Arial" w:eastAsia="Arial" w:hAnsi="Arial" w:cs="Arial"/>
          <w:sz w:val="22"/>
          <w:szCs w:val="22"/>
        </w:rPr>
        <w:tab/>
        <w:t>existuje aj „iná osoba“ ako osoba podľa § 32 ods. 1 písm. a)  ZVO</w:t>
      </w:r>
      <w:r w:rsidR="00F13A03" w:rsidRPr="00F13A03">
        <w:rPr>
          <w:rStyle w:val="Odkaznapoznmkupodiarou"/>
          <w:rFonts w:ascii="Arial" w:eastAsia="Arial" w:hAnsi="Arial" w:cs="Arial"/>
          <w:sz w:val="22"/>
          <w:szCs w:val="22"/>
        </w:rPr>
        <w:footnoteReference w:id="4"/>
      </w:r>
      <w:r w:rsidR="00F13A03" w:rsidRPr="00F13A03">
        <w:rPr>
          <w:rFonts w:ascii="Arial" w:eastAsia="Arial" w:hAnsi="Arial" w:cs="Arial"/>
          <w:sz w:val="22"/>
          <w:szCs w:val="22"/>
        </w:rPr>
        <w:t xml:space="preserve"> upravená v § 32 ods. 7 a 8 ZVO, ktorá je nižšie identifikovaná, a táto iná osoba </w:t>
      </w:r>
      <w:r w:rsidR="00F13A03" w:rsidRPr="00F13A03">
        <w:rPr>
          <w:rFonts w:ascii="Arial" w:eastAsia="Arial" w:hAnsi="Arial" w:cs="Arial"/>
          <w:b/>
          <w:sz w:val="22"/>
          <w:szCs w:val="22"/>
        </w:rPr>
        <w:t>nespĺňa</w:t>
      </w:r>
      <w:r w:rsidR="00F13A03" w:rsidRPr="00F13A03">
        <w:rPr>
          <w:rFonts w:ascii="Arial" w:eastAsia="Arial" w:hAnsi="Arial" w:cs="Arial"/>
          <w:sz w:val="22"/>
          <w:szCs w:val="22"/>
        </w:rPr>
        <w:t xml:space="preserve"> podmienky účasti podľa § 32 ods. 1 písm. a) ZVO (tzv. "požiadavku bezúhonnosti“):</w:t>
      </w:r>
    </w:p>
    <w:p w14:paraId="5B969E29" w14:textId="77777777" w:rsidR="00F13A03" w:rsidRPr="00F13A03" w:rsidRDefault="00F13A03" w:rsidP="00F13A03">
      <w:pPr>
        <w:jc w:val="both"/>
        <w:rPr>
          <w:rFonts w:ascii="Arial" w:eastAsia="Arial" w:hAnsi="Arial" w:cs="Arial"/>
          <w:sz w:val="22"/>
          <w:szCs w:val="22"/>
        </w:rPr>
      </w:pPr>
    </w:p>
    <w:p w14:paraId="3C3E6795" w14:textId="77777777" w:rsidR="00F13A03" w:rsidRPr="00F13A03" w:rsidRDefault="00F13A03" w:rsidP="00F13A03">
      <w:pPr>
        <w:pStyle w:val="Odsekzoznamu"/>
        <w:numPr>
          <w:ilvl w:val="0"/>
          <w:numId w:val="4"/>
        </w:numPr>
        <w:jc w:val="both"/>
        <w:rPr>
          <w:rFonts w:ascii="Arial" w:eastAsia="Arial" w:hAnsi="Arial" w:cs="Arial"/>
          <w:sz w:val="22"/>
          <w:szCs w:val="22"/>
          <w:lang w:eastAsia="en-US"/>
        </w:rPr>
      </w:pPr>
      <w:r w:rsidRPr="00F13A03">
        <w:rPr>
          <w:rFonts w:ascii="Arial" w:eastAsia="Arial" w:hAnsi="Arial" w:cs="Arial"/>
          <w:sz w:val="22"/>
          <w:szCs w:val="22"/>
          <w:lang w:eastAsia="en-US"/>
        </w:rPr>
        <w:t>..........................................................</w:t>
      </w:r>
    </w:p>
    <w:p w14:paraId="41188D0E" w14:textId="77777777" w:rsidR="00F13A03" w:rsidRPr="00F13A03" w:rsidRDefault="00F13A03" w:rsidP="00F13A03">
      <w:pPr>
        <w:pStyle w:val="Odsekzoznamu"/>
        <w:numPr>
          <w:ilvl w:val="0"/>
          <w:numId w:val="4"/>
        </w:numPr>
        <w:jc w:val="both"/>
        <w:rPr>
          <w:rFonts w:ascii="Arial" w:eastAsia="Arial" w:hAnsi="Arial" w:cs="Arial"/>
          <w:sz w:val="22"/>
          <w:szCs w:val="22"/>
          <w:lang w:eastAsia="en-US"/>
        </w:rPr>
      </w:pPr>
      <w:r w:rsidRPr="00F13A03">
        <w:rPr>
          <w:rFonts w:ascii="Arial" w:eastAsia="Arial" w:hAnsi="Arial" w:cs="Arial"/>
          <w:sz w:val="22"/>
          <w:szCs w:val="22"/>
          <w:lang w:eastAsia="en-US"/>
        </w:rPr>
        <w:t>..........................................................</w:t>
      </w:r>
    </w:p>
    <w:p w14:paraId="65E82854" w14:textId="77777777" w:rsidR="00F13A03" w:rsidRPr="00F13A03" w:rsidRDefault="00F13A03" w:rsidP="00F13A03">
      <w:pPr>
        <w:pStyle w:val="Odsekzoznamu"/>
        <w:numPr>
          <w:ilvl w:val="0"/>
          <w:numId w:val="4"/>
        </w:numPr>
        <w:jc w:val="both"/>
        <w:rPr>
          <w:rFonts w:ascii="Arial" w:eastAsia="Arial" w:hAnsi="Arial" w:cs="Arial"/>
          <w:sz w:val="22"/>
          <w:szCs w:val="22"/>
          <w:lang w:eastAsia="en-US"/>
        </w:rPr>
      </w:pPr>
      <w:r w:rsidRPr="00F13A03">
        <w:rPr>
          <w:rFonts w:ascii="Arial" w:eastAsia="Arial" w:hAnsi="Arial" w:cs="Arial"/>
          <w:sz w:val="22"/>
          <w:szCs w:val="22"/>
          <w:lang w:eastAsia="en-US"/>
        </w:rPr>
        <w:t>..........................................................</w:t>
      </w:r>
    </w:p>
    <w:p w14:paraId="165FFAFB" w14:textId="77777777" w:rsidR="00F13A03" w:rsidRPr="00F13A03" w:rsidRDefault="00F13A03" w:rsidP="00F13A03">
      <w:pPr>
        <w:pStyle w:val="Zkladntext1"/>
        <w:shd w:val="clear" w:color="auto" w:fill="auto"/>
        <w:spacing w:after="240"/>
        <w:ind w:right="1080"/>
        <w:jc w:val="left"/>
      </w:pPr>
    </w:p>
    <w:p w14:paraId="7B2C2833" w14:textId="77777777" w:rsidR="00F13A03" w:rsidRPr="00F13A03" w:rsidRDefault="00F13A03" w:rsidP="00F13A03">
      <w:pPr>
        <w:pStyle w:val="Zkladntext"/>
        <w:rPr>
          <w:rStyle w:val="iadne"/>
          <w:rFonts w:ascii="Arial" w:hAnsi="Arial" w:cs="Arial"/>
          <w:b/>
          <w:bCs/>
        </w:rPr>
      </w:pPr>
      <w:r w:rsidRPr="00F13A03">
        <w:rPr>
          <w:rStyle w:val="iadne"/>
          <w:rFonts w:ascii="Arial" w:hAnsi="Arial" w:cs="Arial"/>
          <w:b/>
          <w:bCs/>
        </w:rPr>
        <w:t xml:space="preserve">V prípade, ak nastanú nové skutočnosti, odôvodňujúce zmenu vyššie vyhláseného, zaväzujem sa to bezodkladne oznámiť obstarávateľovi. </w:t>
      </w:r>
    </w:p>
    <w:p w14:paraId="680F357E" w14:textId="77777777" w:rsidR="00F13A03" w:rsidRPr="00F13A03" w:rsidRDefault="00F13A03" w:rsidP="00F13A03">
      <w:pPr>
        <w:jc w:val="both"/>
        <w:rPr>
          <w:rFonts w:ascii="Arial" w:eastAsia="Arial" w:hAnsi="Arial" w:cs="Arial"/>
          <w:sz w:val="22"/>
          <w:szCs w:val="20"/>
          <w:lang w:eastAsia="en-US"/>
        </w:rPr>
      </w:pPr>
    </w:p>
    <w:p w14:paraId="2A84247A" w14:textId="77777777"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14:paraId="5118462E" w14:textId="77777777" w:rsidTr="00770F6A">
        <w:tc>
          <w:tcPr>
            <w:tcW w:w="4253" w:type="dxa"/>
          </w:tcPr>
          <w:p w14:paraId="2A781FE8" w14:textId="77777777"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14:paraId="5D6CDAFA" w14:textId="77777777" w:rsidR="00716F0C" w:rsidRDefault="00716F0C" w:rsidP="00773288">
            <w:pPr>
              <w:pStyle w:val="Zkladntext1"/>
              <w:shd w:val="clear" w:color="auto" w:fill="auto"/>
              <w:spacing w:after="0" w:line="360" w:lineRule="auto"/>
              <w:rPr>
                <w:sz w:val="20"/>
                <w:szCs w:val="20"/>
              </w:rPr>
            </w:pPr>
          </w:p>
        </w:tc>
        <w:tc>
          <w:tcPr>
            <w:tcW w:w="4809" w:type="dxa"/>
          </w:tcPr>
          <w:p w14:paraId="34197E8A" w14:textId="77777777" w:rsidR="00716F0C" w:rsidRDefault="00716F0C" w:rsidP="00773288">
            <w:pPr>
              <w:pStyle w:val="Zkladntext1"/>
              <w:shd w:val="clear" w:color="auto" w:fill="auto"/>
              <w:spacing w:after="0" w:line="360" w:lineRule="auto"/>
              <w:rPr>
                <w:sz w:val="20"/>
                <w:szCs w:val="20"/>
              </w:rPr>
            </w:pPr>
          </w:p>
        </w:tc>
      </w:tr>
      <w:tr w:rsidR="00716F0C" w14:paraId="7ED3A79B" w14:textId="77777777" w:rsidTr="00770F6A">
        <w:tc>
          <w:tcPr>
            <w:tcW w:w="4253" w:type="dxa"/>
          </w:tcPr>
          <w:p w14:paraId="2B492895" w14:textId="77777777" w:rsidR="00716F0C" w:rsidRDefault="00716F0C" w:rsidP="00773288">
            <w:pPr>
              <w:pStyle w:val="Zkladntext1"/>
              <w:shd w:val="clear" w:color="auto" w:fill="auto"/>
              <w:spacing w:after="0" w:line="360" w:lineRule="auto"/>
              <w:rPr>
                <w:sz w:val="20"/>
                <w:szCs w:val="20"/>
              </w:rPr>
            </w:pPr>
          </w:p>
        </w:tc>
        <w:tc>
          <w:tcPr>
            <w:tcW w:w="4809" w:type="dxa"/>
          </w:tcPr>
          <w:p w14:paraId="30A695C0" w14:textId="77777777" w:rsidR="00716F0C" w:rsidRDefault="00716F0C" w:rsidP="00716F0C">
            <w:pPr>
              <w:pStyle w:val="Zkladntext1"/>
              <w:shd w:val="clear" w:color="auto" w:fill="auto"/>
              <w:spacing w:after="0" w:line="360" w:lineRule="auto"/>
              <w:jc w:val="center"/>
              <w:rPr>
                <w:sz w:val="20"/>
                <w:szCs w:val="20"/>
              </w:rPr>
            </w:pPr>
          </w:p>
          <w:p w14:paraId="01CBB461" w14:textId="77777777"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14:paraId="639581FF" w14:textId="77777777" w:rsidTr="00770F6A">
        <w:tc>
          <w:tcPr>
            <w:tcW w:w="4253" w:type="dxa"/>
          </w:tcPr>
          <w:p w14:paraId="18D1D242" w14:textId="77777777" w:rsidR="00716F0C" w:rsidRDefault="00716F0C" w:rsidP="00773288">
            <w:pPr>
              <w:pStyle w:val="Zkladntext1"/>
              <w:shd w:val="clear" w:color="auto" w:fill="auto"/>
              <w:spacing w:after="0" w:line="360" w:lineRule="auto"/>
              <w:rPr>
                <w:sz w:val="20"/>
                <w:szCs w:val="20"/>
              </w:rPr>
            </w:pPr>
          </w:p>
        </w:tc>
        <w:tc>
          <w:tcPr>
            <w:tcW w:w="4809" w:type="dxa"/>
          </w:tcPr>
          <w:p w14:paraId="447BFC94" w14:textId="77777777"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14:paraId="79A8F15E" w14:textId="77777777" w:rsidR="00770F6A" w:rsidRPr="007345F7" w:rsidRDefault="00770F6A" w:rsidP="00770F6A">
      <w:pPr>
        <w:rPr>
          <w:rFonts w:ascii="Arial" w:hAnsi="Arial" w:cs="Arial"/>
          <w:b/>
          <w:color w:val="000000"/>
        </w:rPr>
      </w:pPr>
    </w:p>
    <w:sectPr w:rsidR="00770F6A" w:rsidRPr="00734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F06F" w14:textId="77777777" w:rsidR="001B3FB3" w:rsidRDefault="001B3FB3" w:rsidP="00A90062">
      <w:r>
        <w:separator/>
      </w:r>
    </w:p>
  </w:endnote>
  <w:endnote w:type="continuationSeparator" w:id="0">
    <w:p w14:paraId="76A37288" w14:textId="77777777" w:rsidR="001B3FB3" w:rsidRDefault="001B3FB3"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E5D06" w14:textId="77777777" w:rsidR="001B3FB3" w:rsidRDefault="001B3FB3" w:rsidP="00A90062">
      <w:r>
        <w:separator/>
      </w:r>
    </w:p>
  </w:footnote>
  <w:footnote w:type="continuationSeparator" w:id="0">
    <w:p w14:paraId="2C1F1FBB" w14:textId="77777777" w:rsidR="001B3FB3" w:rsidRDefault="001B3FB3" w:rsidP="00A90062">
      <w:r>
        <w:continuationSeparator/>
      </w:r>
    </w:p>
  </w:footnote>
  <w:footnote w:id="1">
    <w:p w14:paraId="1CCB7E53" w14:textId="77777777" w:rsidR="00702BC7" w:rsidRPr="00265C13" w:rsidRDefault="00A90062" w:rsidP="00F0347E">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footnote>
  <w:footnote w:id="2">
    <w:p w14:paraId="45B9E80E" w14:textId="77777777"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14:paraId="080839E1" w14:textId="77777777"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14:paraId="3EA12995" w14:textId="77777777"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14:paraId="47C4FF7D" w14:textId="77777777"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14:paraId="6B8A2763" w14:textId="77777777" w:rsidR="00F0347E"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3">
    <w:p w14:paraId="2E15FE06" w14:textId="77777777" w:rsidR="00495934" w:rsidRPr="00265C13" w:rsidRDefault="00495934" w:rsidP="00F0347E">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 w:id="4">
    <w:p w14:paraId="1CBEE5CD" w14:textId="77777777" w:rsidR="00F13A03" w:rsidRPr="00E45844" w:rsidRDefault="00F13A03" w:rsidP="00F13A03">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w:t>
      </w:r>
      <w:r w:rsidRPr="00F13A03">
        <w:rPr>
          <w:rFonts w:ascii="Arial" w:hAnsi="Arial" w:cs="Arial"/>
          <w:sz w:val="18"/>
          <w:szCs w:val="16"/>
        </w:rPr>
        <w:t>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w:t>
      </w:r>
      <w:r w:rsidRPr="00F13A03">
        <w:rPr>
          <w:rFonts w:ascii="Arial" w:hAnsi="Arial" w:cs="Arial"/>
          <w:szCs w:val="18"/>
        </w:rPr>
        <w:t xml:space="preserve"> </w:t>
      </w:r>
      <w:r w:rsidRPr="00F13A03">
        <w:rPr>
          <w:rFonts w:ascii="Arial" w:hAnsi="Arial" w:cs="Arial"/>
          <w:sz w:val="18"/>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1B72174E"/>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7826968">
    <w:abstractNumId w:val="3"/>
  </w:num>
  <w:num w:numId="2" w16cid:durableId="1297443455">
    <w:abstractNumId w:val="2"/>
  </w:num>
  <w:num w:numId="3" w16cid:durableId="1248610771">
    <w:abstractNumId w:val="0"/>
  </w:num>
  <w:num w:numId="4" w16cid:durableId="1231309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B4"/>
    <w:rsid w:val="0000663C"/>
    <w:rsid w:val="00047AE1"/>
    <w:rsid w:val="000D0798"/>
    <w:rsid w:val="001046B5"/>
    <w:rsid w:val="00142367"/>
    <w:rsid w:val="001677F9"/>
    <w:rsid w:val="00183240"/>
    <w:rsid w:val="001B3FB3"/>
    <w:rsid w:val="00265C13"/>
    <w:rsid w:val="0027337F"/>
    <w:rsid w:val="002A7CB2"/>
    <w:rsid w:val="002F61A5"/>
    <w:rsid w:val="0036198F"/>
    <w:rsid w:val="00376DB4"/>
    <w:rsid w:val="00482FC5"/>
    <w:rsid w:val="00495934"/>
    <w:rsid w:val="00516DFD"/>
    <w:rsid w:val="00540AF3"/>
    <w:rsid w:val="005631CA"/>
    <w:rsid w:val="005832CF"/>
    <w:rsid w:val="00702BC7"/>
    <w:rsid w:val="00716F0C"/>
    <w:rsid w:val="007345F7"/>
    <w:rsid w:val="00770F6A"/>
    <w:rsid w:val="00773288"/>
    <w:rsid w:val="00773665"/>
    <w:rsid w:val="007D5480"/>
    <w:rsid w:val="009D5CDC"/>
    <w:rsid w:val="00A14277"/>
    <w:rsid w:val="00A86165"/>
    <w:rsid w:val="00A90062"/>
    <w:rsid w:val="00B546C7"/>
    <w:rsid w:val="00C033D2"/>
    <w:rsid w:val="00C1309B"/>
    <w:rsid w:val="00D476F2"/>
    <w:rsid w:val="00F0347E"/>
    <w:rsid w:val="00F13A03"/>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8A82"/>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List Paragraph,Odsek zoznamu2,Bullet Number,lp1,lp11,List Paragraph11,Bullet 1,Use Case List Paragraph,Nad,Odstavec cíl se seznamem,Odstavec_muj,cislovanie,Bullet List,FooterText,numbered,Paragraphe de liste1,Odsek 1.,Odsek,ZOZNAM"/>
    <w:basedOn w:val="Normlny"/>
    <w:link w:val="OdsekzoznamuChar"/>
    <w:uiPriority w:val="34"/>
    <w:qFormat/>
    <w:rsid w:val="00773288"/>
    <w:pPr>
      <w:ind w:left="708"/>
    </w:pPr>
  </w:style>
  <w:style w:type="character" w:customStyle="1" w:styleId="OdsekzoznamuChar">
    <w:name w:val="Odsek zoznamu Char"/>
    <w:aliases w:val="body Char,List Paragraph Char,Odsek zoznamu2 Char,Bullet Number Char,lp1 Char,lp11 Char,List Paragraph11 Char,Bullet 1 Char,Use Case List Paragraph Char,Nad Char,Odstavec cíl se seznamem Char,Odstavec_muj Char,cislovanie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A90062"/>
    <w:rPr>
      <w:sz w:val="20"/>
      <w:szCs w:val="20"/>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character" w:customStyle="1" w:styleId="iadne">
    <w:name w:val="Žiadne"/>
    <w:rsid w:val="00F13A03"/>
  </w:style>
  <w:style w:type="paragraph" w:styleId="Zkladntext">
    <w:name w:val="Body Text"/>
    <w:basedOn w:val="Normlny"/>
    <w:link w:val="ZkladntextChar"/>
    <w:uiPriority w:val="99"/>
    <w:semiHidden/>
    <w:unhideWhenUsed/>
    <w:rsid w:val="00F13A03"/>
    <w:pPr>
      <w:suppressAutoHyphens w:val="0"/>
      <w:spacing w:after="120"/>
    </w:pPr>
    <w:rPr>
      <w:rFonts w:ascii="Calibri" w:eastAsiaTheme="minorHAnsi" w:hAnsi="Calibri" w:cs="Calibri"/>
      <w:sz w:val="22"/>
      <w:szCs w:val="22"/>
      <w:lang w:eastAsia="en-US"/>
    </w:rPr>
  </w:style>
  <w:style w:type="character" w:customStyle="1" w:styleId="ZkladntextChar">
    <w:name w:val="Základný text Char"/>
    <w:basedOn w:val="Predvolenpsmoodseku"/>
    <w:link w:val="Zkladntext"/>
    <w:uiPriority w:val="99"/>
    <w:semiHidden/>
    <w:rsid w:val="00F13A0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F26D0D-514B-40BC-A4F6-EAE7EB06D458}">
  <ds:schemaRefs>
    <ds:schemaRef ds:uri="http://schemas.openxmlformats.org/officeDocument/2006/bibliography"/>
  </ds:schemaRefs>
</ds:datastoreItem>
</file>

<file path=customXml/itemProps2.xml><?xml version="1.0" encoding="utf-8"?>
<ds:datastoreItem xmlns:ds="http://schemas.openxmlformats.org/officeDocument/2006/customXml" ds:itemID="{1AAB618A-C2FB-467B-9126-719B6B173278}"/>
</file>

<file path=customXml/itemProps3.xml><?xml version="1.0" encoding="utf-8"?>
<ds:datastoreItem xmlns:ds="http://schemas.openxmlformats.org/officeDocument/2006/customXml" ds:itemID="{20CB9210-3493-444C-94EF-0B18EED245D3}"/>
</file>

<file path=customXml/itemProps4.xml><?xml version="1.0" encoding="utf-8"?>
<ds:datastoreItem xmlns:ds="http://schemas.openxmlformats.org/officeDocument/2006/customXml" ds:itemID="{BF9E71AE-4587-448B-9E21-64CAA3E06D70}"/>
</file>

<file path=docProps/app.xml><?xml version="1.0" encoding="utf-8"?>
<Properties xmlns="http://schemas.openxmlformats.org/officeDocument/2006/extended-properties" xmlns:vt="http://schemas.openxmlformats.org/officeDocument/2006/docPropsVTypes">
  <Template>Normal</Template>
  <TotalTime>53</TotalTime>
  <Pages>2</Pages>
  <Words>307</Words>
  <Characters>1752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Marcela Turčanová</cp:lastModifiedBy>
  <cp:revision>9</cp:revision>
  <cp:lastPrinted>2024-08-07T15:40:00Z</cp:lastPrinted>
  <dcterms:created xsi:type="dcterms:W3CDTF">2024-08-07T19:21:00Z</dcterms:created>
  <dcterms:modified xsi:type="dcterms:W3CDTF">2025-02-11T16:11:00Z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