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2489C9BA" w:rsidR="004A472D" w:rsidRPr="004A472D" w:rsidRDefault="00F73BE3" w:rsidP="00831A57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  <w:r w:rsidR="0058141D">
        <w:rPr>
          <w:rFonts w:cs="Arial"/>
          <w:b/>
          <w:sz w:val="20"/>
        </w:rPr>
        <w:tab/>
      </w:r>
      <w:r w:rsidR="0058141D">
        <w:rPr>
          <w:rFonts w:cs="Arial"/>
          <w:b/>
          <w:sz w:val="20"/>
        </w:rPr>
        <w:tab/>
      </w:r>
    </w:p>
    <w:p w14:paraId="37E01FFD" w14:textId="3D2B01B4" w:rsidR="004A472D" w:rsidRPr="0058141D" w:rsidRDefault="004A472D" w:rsidP="00531B6B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76EC48F6" w14:textId="658A4F54" w:rsidR="002858A1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  <w:r w:rsidR="00051C4A" w:rsidRPr="00051C4A">
        <w:rPr>
          <w:lang w:val="cs-CZ"/>
        </w:rPr>
        <w:t xml:space="preserve"> </w:t>
      </w:r>
    </w:p>
    <w:p w14:paraId="3E2D7771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6D27B893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3D0B7AC7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IČ DPH:</w:t>
      </w:r>
      <w:r w:rsidR="00DF1EAC">
        <w:rPr>
          <w:rFonts w:cs="Arial"/>
          <w:sz w:val="20"/>
        </w:rPr>
        <w:tab/>
      </w:r>
      <w:r w:rsidR="00DF1EAC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2"/>
      </w:tblGrid>
      <w:tr w:rsidR="007321E5" w:rsidRPr="001D1254" w14:paraId="7B534324" w14:textId="77777777" w:rsidTr="00732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A88FF1" w14:textId="77777777" w:rsidR="00F754C4" w:rsidRPr="0058141D" w:rsidRDefault="004A472D" w:rsidP="00F754C4">
            <w:pPr>
              <w:pStyle w:val="Zkladntext"/>
              <w:spacing w:line="288" w:lineRule="auto"/>
              <w:ind w:left="720" w:right="64"/>
              <w:rPr>
                <w:rFonts w:cs="Arial"/>
                <w:b/>
                <w:bCs/>
                <w:sz w:val="20"/>
                <w:lang w:val="sk-SK"/>
              </w:rPr>
            </w:pPr>
            <w:r w:rsidRPr="004A472D">
              <w:rPr>
                <w:rFonts w:cs="Arial"/>
                <w:sz w:val="20"/>
              </w:rPr>
              <w:t>Z</w:t>
            </w:r>
            <w:r w:rsidR="00992CD4">
              <w:rPr>
                <w:rFonts w:cs="Arial"/>
                <w:sz w:val="20"/>
              </w:rPr>
              <w:t xml:space="preserve">apísané v </w:t>
            </w:r>
            <w:r w:rsidR="00403CDA" w:rsidRPr="00403CDA">
              <w:rPr>
                <w:rFonts w:cs="Arial"/>
                <w:sz w:val="20"/>
              </w:rPr>
              <w:t>Obch</w:t>
            </w:r>
            <w:r w:rsidR="00992CD4">
              <w:rPr>
                <w:rFonts w:cs="Arial"/>
                <w:sz w:val="20"/>
              </w:rPr>
              <w:t xml:space="preserve">. </w:t>
            </w:r>
            <w:r w:rsidR="00403CDA" w:rsidRPr="00403CDA">
              <w:rPr>
                <w:rFonts w:cs="Arial"/>
                <w:sz w:val="20"/>
              </w:rPr>
              <w:t>registr</w:t>
            </w:r>
            <w:r w:rsidR="00992CD4">
              <w:rPr>
                <w:rFonts w:cs="Arial"/>
                <w:sz w:val="20"/>
              </w:rPr>
              <w:t>i</w:t>
            </w:r>
            <w:r w:rsidR="00403CDA" w:rsidRPr="00403CDA">
              <w:rPr>
                <w:rFonts w:cs="Arial"/>
                <w:sz w:val="20"/>
              </w:rPr>
              <w:t xml:space="preserve"> </w:t>
            </w:r>
            <w:r w:rsidR="00F754C4">
              <w:rPr>
                <w:rFonts w:cs="Arial"/>
                <w:sz w:val="20"/>
              </w:rPr>
              <w:t>................................</w:t>
            </w:r>
          </w:p>
          <w:p w14:paraId="57A54BA1" w14:textId="69A70450" w:rsidR="007321E5" w:rsidRPr="001D1254" w:rsidRDefault="007321E5" w:rsidP="007321E5">
            <w:pPr>
              <w:pStyle w:val="Zkladntext"/>
              <w:spacing w:line="288" w:lineRule="auto"/>
              <w:ind w:left="720" w:right="64"/>
              <w:rPr>
                <w:rFonts w:cs="Arial"/>
                <w:sz w:val="20"/>
              </w:rPr>
            </w:pPr>
          </w:p>
        </w:tc>
      </w:tr>
    </w:tbl>
    <w:p w14:paraId="4ECC5939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39FA078D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CC000D" w:rsidRPr="001D1254">
        <w:rPr>
          <w:rFonts w:cs="Arial"/>
          <w:sz w:val="20"/>
        </w:rPr>
        <w:t xml:space="preserve"> </w:t>
      </w:r>
      <w:r w:rsidR="00F754C4">
        <w:rPr>
          <w:rFonts w:cs="Arial"/>
          <w:sz w:val="20"/>
        </w:rPr>
        <w:t>................................</w:t>
      </w:r>
    </w:p>
    <w:p w14:paraId="65B4536D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5F107FC6" w14:textId="687CA714" w:rsidR="00715C69" w:rsidRPr="00A65DF6" w:rsidRDefault="00C22EC7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(ďalej iba ako „</w:t>
      </w:r>
      <w:r w:rsidR="00F73BE3" w:rsidRPr="00F73BE3">
        <w:rPr>
          <w:rFonts w:ascii="Arial" w:hAnsi="Arial" w:cs="Arial"/>
          <w:b/>
        </w:rPr>
        <w:t>Predávajúci</w:t>
      </w:r>
      <w:r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831A57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6EC2A7A8" w:rsidR="00531B6B" w:rsidRPr="006F22A8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6519F7EB">
        <w:rPr>
          <w:rFonts w:cs="Arial"/>
          <w:sz w:val="20"/>
        </w:rPr>
        <w:t>Obchodné meno:</w:t>
      </w:r>
      <w:r w:rsidR="00B267AE">
        <w:rPr>
          <w:rFonts w:cs="Arial"/>
          <w:sz w:val="20"/>
        </w:rPr>
        <w:tab/>
      </w:r>
      <w:r w:rsidR="006F22A8" w:rsidRPr="6519F7EB">
        <w:rPr>
          <w:rStyle w:val="ra"/>
          <w:rFonts w:cs="Arial"/>
          <w:b/>
          <w:bCs/>
          <w:sz w:val="20"/>
          <w:lang w:val="sk-SK"/>
        </w:rPr>
        <w:t>Poľnohospodárske družstvo Hlohovec</w:t>
      </w:r>
    </w:p>
    <w:p w14:paraId="5159F714" w14:textId="7F25DC4A" w:rsidR="002868D4" w:rsidRPr="001D1254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6519F7EB">
        <w:rPr>
          <w:rFonts w:cs="Arial"/>
          <w:sz w:val="20"/>
        </w:rPr>
        <w:t>Sídlo:</w:t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="006F22A8" w:rsidRPr="001D1254">
        <w:rPr>
          <w:rFonts w:cs="Arial"/>
          <w:sz w:val="20"/>
        </w:rPr>
        <w:t>Nitrianska 109, 920 12 Hlohovec</w:t>
      </w:r>
    </w:p>
    <w:p w14:paraId="3569CA80" w14:textId="3897CAC6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IČO: 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00207781</w:t>
      </w:r>
    </w:p>
    <w:p w14:paraId="68014D53" w14:textId="7E34678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DIČ: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2020394904</w:t>
      </w:r>
    </w:p>
    <w:p w14:paraId="6F8E9051" w14:textId="3B750208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IČ DPH: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SK2020394904</w:t>
      </w:r>
    </w:p>
    <w:p w14:paraId="2E320548" w14:textId="7A6F93E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Zapísané v Obch. registri Okresného súdu v Trnave, oddiel Dr., vložka č.135/T</w:t>
      </w:r>
      <w:r w:rsidRPr="00933F58">
        <w:rPr>
          <w:rFonts w:cs="Arial"/>
          <w:sz w:val="20"/>
        </w:rPr>
        <w:tab/>
      </w:r>
    </w:p>
    <w:p w14:paraId="0A2F20E7" w14:textId="18B546F7" w:rsidR="000D42F6" w:rsidRPr="000D42F6" w:rsidRDefault="6519F7EB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Bankové spojenie:</w:t>
      </w:r>
      <w:r w:rsidRPr="00933F58">
        <w:rPr>
          <w:rFonts w:cs="Arial"/>
          <w:sz w:val="20"/>
        </w:rPr>
        <w:tab/>
      </w:r>
      <w:r w:rsidR="000D42F6" w:rsidRPr="000D42F6">
        <w:rPr>
          <w:rFonts w:cs="Arial"/>
          <w:sz w:val="20"/>
        </w:rPr>
        <w:t xml:space="preserve">VÚB, a.s. </w:t>
      </w:r>
    </w:p>
    <w:p w14:paraId="689CD245" w14:textId="36C4B4EA" w:rsidR="00B267AE" w:rsidRPr="00933F58" w:rsidRDefault="000D42F6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0D42F6">
        <w:rPr>
          <w:rFonts w:cs="Arial"/>
          <w:sz w:val="20"/>
        </w:rPr>
        <w:t>Číslo účtu:</w:t>
      </w:r>
      <w:r w:rsidRPr="000D42F6">
        <w:rPr>
          <w:rFonts w:cs="Arial"/>
          <w:sz w:val="20"/>
        </w:rPr>
        <w:tab/>
      </w:r>
      <w:r w:rsidRPr="000D42F6">
        <w:rPr>
          <w:rFonts w:cs="Arial"/>
          <w:sz w:val="20"/>
        </w:rPr>
        <w:tab/>
        <w:t>SK2602000000000000813212</w:t>
      </w:r>
      <w:r w:rsidR="00B267AE" w:rsidRPr="00933F58">
        <w:rPr>
          <w:rFonts w:cs="Arial"/>
          <w:sz w:val="20"/>
        </w:rPr>
        <w:t xml:space="preserve"> </w:t>
      </w:r>
    </w:p>
    <w:p w14:paraId="038A69CD" w14:textId="29A22075" w:rsidR="00AF6339" w:rsidRPr="00933F58" w:rsidRDefault="00AF6339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Zastúpený: </w:t>
      </w:r>
      <w:r w:rsidRPr="00933F58">
        <w:rPr>
          <w:rFonts w:cs="Arial"/>
          <w:sz w:val="20"/>
        </w:rPr>
        <w:tab/>
        <w:t xml:space="preserve">     </w:t>
      </w:r>
      <w:r w:rsidR="00BD5FF2">
        <w:rPr>
          <w:rFonts w:cs="Arial"/>
          <w:sz w:val="20"/>
        </w:rPr>
        <w:tab/>
      </w:r>
      <w:bookmarkStart w:id="1" w:name="_Hlk139030943"/>
      <w:r w:rsidRPr="00933F58">
        <w:rPr>
          <w:rFonts w:cs="Arial"/>
          <w:sz w:val="20"/>
        </w:rPr>
        <w:t>Ing. Anton Cebo, predseda družstva</w:t>
      </w:r>
    </w:p>
    <w:bookmarkEnd w:id="1"/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2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nasl. </w:t>
      </w:r>
      <w:bookmarkEnd w:id="2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831A57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831A57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44640F56" w14:textId="77777777" w:rsidR="0072555E" w:rsidRPr="00007E08" w:rsidRDefault="00655457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4" w:name="_Hlk109913250"/>
      <w:bookmarkEnd w:id="3"/>
      <w:r w:rsidRPr="005B41E1">
        <w:rPr>
          <w:b/>
          <w:sz w:val="20"/>
          <w:u w:val="single"/>
        </w:rPr>
        <w:t>DODANIE PREDMETU KÚPY</w:t>
      </w:r>
    </w:p>
    <w:p w14:paraId="495D58BD" w14:textId="075E8226" w:rsidR="00F6195E" w:rsidRPr="00A51375" w:rsidRDefault="00F6195E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 kúpy aj z rozpočtov Európskej únie</w:t>
      </w:r>
      <w:r w:rsidR="00B32821" w:rsidRPr="00B32821">
        <w:rPr>
          <w:rFonts w:asciiTheme="minorHAnsi" w:eastAsiaTheme="minorEastAsia" w:hAnsiTheme="minorHAnsi" w:cstheme="minorBidi"/>
          <w:sz w:val="20"/>
          <w:szCs w:val="22"/>
          <w:lang w:val="cs-CZ" w:eastAsia="en-US"/>
        </w:rPr>
        <w:t xml:space="preserve"> </w:t>
      </w:r>
      <w:r w:rsidR="00B32821" w:rsidRPr="00B32821">
        <w:rPr>
          <w:rFonts w:cs="Arial"/>
          <w:sz w:val="20"/>
          <w:lang w:val="cs-CZ"/>
        </w:rPr>
        <w:t xml:space="preserve">PRV SR 2014 - 2022, sa zmluvné strany dohodli, že termín </w:t>
      </w:r>
      <w:r w:rsidR="00854EA6">
        <w:rPr>
          <w:rFonts w:cs="Arial"/>
          <w:sz w:val="20"/>
          <w:lang w:val="cs-CZ"/>
        </w:rPr>
        <w:t>dodani</w:t>
      </w:r>
      <w:r w:rsidR="00362D6C">
        <w:rPr>
          <w:rFonts w:cs="Arial"/>
          <w:sz w:val="20"/>
          <w:lang w:val="cs-CZ"/>
        </w:rPr>
        <w:t>a</w:t>
      </w:r>
      <w:r w:rsidR="00854EA6">
        <w:rPr>
          <w:rFonts w:cs="Arial"/>
          <w:sz w:val="20"/>
          <w:lang w:val="cs-CZ"/>
        </w:rPr>
        <w:t xml:space="preserve"> </w:t>
      </w:r>
      <w:r w:rsidR="00FA3498">
        <w:rPr>
          <w:rFonts w:cs="Arial"/>
          <w:sz w:val="20"/>
          <w:lang w:val="cs-CZ"/>
        </w:rPr>
        <w:t>P</w:t>
      </w:r>
      <w:r w:rsidR="00854EA6">
        <w:rPr>
          <w:rFonts w:cs="Arial"/>
          <w:sz w:val="20"/>
          <w:lang w:val="cs-CZ"/>
        </w:rPr>
        <w:t xml:space="preserve">redmetu kúpy </w:t>
      </w:r>
      <w:r w:rsidR="00B32821" w:rsidRPr="00B32821">
        <w:rPr>
          <w:rFonts w:cs="Arial"/>
          <w:sz w:val="20"/>
          <w:lang w:val="cs-CZ"/>
        </w:rPr>
        <w:t xml:space="preserve">je najneskôr </w:t>
      </w:r>
      <w:r w:rsidR="003366BB">
        <w:rPr>
          <w:rFonts w:cs="Arial"/>
          <w:sz w:val="20"/>
          <w:lang w:val="cs-CZ"/>
        </w:rPr>
        <w:t xml:space="preserve">do </w:t>
      </w:r>
      <w:r w:rsidR="00B32821" w:rsidRPr="00B32821">
        <w:rPr>
          <w:rFonts w:cs="Arial"/>
          <w:sz w:val="20"/>
          <w:lang w:val="cs-CZ"/>
        </w:rPr>
        <w:t>30.</w:t>
      </w:r>
      <w:r w:rsidR="009E4146">
        <w:rPr>
          <w:rFonts w:cs="Arial"/>
          <w:sz w:val="20"/>
          <w:lang w:val="cs-CZ"/>
        </w:rPr>
        <w:t>0</w:t>
      </w:r>
      <w:r w:rsidR="00B32821" w:rsidRPr="00B32821">
        <w:rPr>
          <w:rFonts w:cs="Arial"/>
          <w:sz w:val="20"/>
          <w:lang w:val="cs-CZ"/>
        </w:rPr>
        <w:t xml:space="preserve">5.2025.  </w:t>
      </w:r>
      <w:r w:rsidR="00B32821">
        <w:rPr>
          <w:rFonts w:cs="Arial"/>
          <w:sz w:val="20"/>
        </w:rPr>
        <w:t xml:space="preserve"> </w:t>
      </w:r>
    </w:p>
    <w:p w14:paraId="2A7B1026" w14:textId="77777777" w:rsidR="0050177D" w:rsidRPr="0050177D" w:rsidRDefault="0096626A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lastRenderedPageBreak/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5" w:name="_Hlk109913413"/>
      <w:bookmarkEnd w:id="4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510"/>
      </w:tblGrid>
      <w:tr w:rsidR="00645553" w:rsidRPr="0036004C" w14:paraId="0ABE7AEB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DEEC669" w14:textId="5565E625" w:rsidR="00645553" w:rsidRPr="00576344" w:rsidRDefault="00F754C4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 </w:t>
            </w:r>
            <w:r w:rsidR="00010CF6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  <w:tr w:rsidR="00645553" w:rsidRPr="0036004C" w14:paraId="240753F5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656B9AB" w14:textId="6F05BF47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  <w:tr w:rsidR="00645553" w:rsidRPr="0036004C" w14:paraId="216660DE" w14:textId="77777777" w:rsidTr="00596D8E">
        <w:trPr>
          <w:trHeight w:val="680"/>
        </w:trPr>
        <w:tc>
          <w:tcPr>
            <w:tcW w:w="1832" w:type="dxa"/>
            <w:shd w:val="clear" w:color="auto" w:fill="auto"/>
            <w:vAlign w:val="center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5FB0818" w14:textId="19C4FA86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</w:tbl>
    <w:p w14:paraId="6E1E84D9" w14:textId="77777777" w:rsidR="00655457" w:rsidRDefault="007A5697" w:rsidP="00645553">
      <w:pPr>
        <w:pStyle w:val="Zkladntext"/>
        <w:spacing w:before="120" w:line="288" w:lineRule="auto"/>
        <w:ind w:left="720" w:right="64"/>
        <w:rPr>
          <w:sz w:val="20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2FB0BD7A" w14:textId="77777777" w:rsidR="003945BD" w:rsidRPr="00655457" w:rsidRDefault="003945BD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78F431D4" w14:textId="6A87CBE0" w:rsidR="0060176A" w:rsidRPr="0060176A" w:rsidRDefault="0060176A" w:rsidP="00831A57">
      <w:pPr>
        <w:pStyle w:val="Odsekzoznamu"/>
        <w:numPr>
          <w:ilvl w:val="1"/>
          <w:numId w:val="3"/>
        </w:numPr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 xml:space="preserve">Kupujúci </w:t>
      </w:r>
      <w:r w:rsidRPr="0060176A">
        <w:rPr>
          <w:rFonts w:ascii="Arial" w:hAnsi="Arial" w:cs="Arial"/>
          <w:lang w:val="x-none" w:eastAsia="x-none"/>
        </w:rPr>
        <w:t xml:space="preserve">zaplatí </w:t>
      </w:r>
      <w:r>
        <w:rPr>
          <w:rFonts w:ascii="Arial" w:hAnsi="Arial" w:cs="Arial"/>
          <w:lang w:val="x-none" w:eastAsia="x-none"/>
        </w:rPr>
        <w:t xml:space="preserve">Predávajúcemu </w:t>
      </w:r>
      <w:r w:rsidRPr="0060176A">
        <w:rPr>
          <w:rFonts w:ascii="Arial" w:hAnsi="Arial" w:cs="Arial"/>
          <w:lang w:val="x-none" w:eastAsia="x-none"/>
        </w:rPr>
        <w:t xml:space="preserve">prevodom na účet </w:t>
      </w:r>
      <w:r w:rsidR="00043212">
        <w:rPr>
          <w:rFonts w:ascii="Arial" w:hAnsi="Arial" w:cs="Arial"/>
          <w:lang w:val="x-none" w:eastAsia="x-none"/>
        </w:rPr>
        <w:t>Predávajúceho</w:t>
      </w:r>
      <w:r w:rsidRPr="0060176A">
        <w:rPr>
          <w:rFonts w:ascii="Arial" w:hAnsi="Arial" w:cs="Arial"/>
          <w:lang w:val="x-none" w:eastAsia="x-none"/>
        </w:rPr>
        <w:t xml:space="preserve"> uvedený v článku </w:t>
      </w:r>
      <w:r w:rsidR="009C34E6">
        <w:rPr>
          <w:rFonts w:ascii="Arial" w:hAnsi="Arial" w:cs="Arial"/>
          <w:lang w:val="x-none" w:eastAsia="x-none"/>
        </w:rPr>
        <w:t>1</w:t>
      </w:r>
      <w:r w:rsidRPr="0060176A">
        <w:rPr>
          <w:rFonts w:ascii="Arial" w:hAnsi="Arial" w:cs="Arial"/>
          <w:lang w:val="x-none" w:eastAsia="x-none"/>
        </w:rPr>
        <w:t>. tejto Zmluvy, pričom cena je splatná nasledovne:</w:t>
      </w:r>
    </w:p>
    <w:p w14:paraId="06CCA032" w14:textId="414DD977" w:rsidR="006E4FB2" w:rsidRPr="00751ED9" w:rsidRDefault="006E4FB2" w:rsidP="00831A57">
      <w:pPr>
        <w:pStyle w:val="Zkladntext"/>
        <w:numPr>
          <w:ilvl w:val="2"/>
          <w:numId w:val="3"/>
        </w:numPr>
        <w:spacing w:before="120" w:line="288" w:lineRule="auto"/>
        <w:ind w:right="64" w:hanging="11"/>
        <w:rPr>
          <w:rFonts w:cs="Arial"/>
          <w:sz w:val="20"/>
        </w:rPr>
      </w:pPr>
      <w:r w:rsidRPr="00751ED9">
        <w:rPr>
          <w:rFonts w:cs="Arial"/>
          <w:sz w:val="20"/>
        </w:rPr>
        <w:t xml:space="preserve">100% </w:t>
      </w:r>
      <w:r w:rsidR="00751ED9">
        <w:rPr>
          <w:rFonts w:cs="Arial"/>
          <w:sz w:val="20"/>
        </w:rPr>
        <w:t xml:space="preserve">kúpnej </w:t>
      </w:r>
      <w:r w:rsidR="007C4095">
        <w:rPr>
          <w:rFonts w:cs="Arial"/>
          <w:sz w:val="20"/>
        </w:rPr>
        <w:t xml:space="preserve">ceny </w:t>
      </w:r>
      <w:r w:rsidRPr="00751ED9">
        <w:rPr>
          <w:rFonts w:cs="Arial"/>
          <w:sz w:val="20"/>
        </w:rPr>
        <w:t>do 14 dní odo dňa prevzatia Predmetu kúpy na základe preberacieho protokolu</w:t>
      </w:r>
      <w:r w:rsidR="00FA3498">
        <w:rPr>
          <w:rFonts w:cs="Arial"/>
          <w:sz w:val="20"/>
        </w:rPr>
        <w:t>,</w:t>
      </w:r>
      <w:r w:rsidRPr="00751ED9">
        <w:rPr>
          <w:rFonts w:cs="Arial"/>
          <w:sz w:val="20"/>
        </w:rPr>
        <w:t xml:space="preserve"> za ktor</w:t>
      </w:r>
      <w:r w:rsidR="00B9560F">
        <w:rPr>
          <w:rFonts w:cs="Arial"/>
          <w:sz w:val="20"/>
        </w:rPr>
        <w:t>ý</w:t>
      </w:r>
      <w:r w:rsidRPr="00751ED9">
        <w:rPr>
          <w:rFonts w:cs="Arial"/>
          <w:sz w:val="20"/>
        </w:rPr>
        <w:t xml:space="preserve"> sa cena platí.</w:t>
      </w:r>
    </w:p>
    <w:p w14:paraId="608700CB" w14:textId="54E94485" w:rsidR="00C873FF" w:rsidRPr="00C873FF" w:rsidRDefault="00C873F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C873FF">
        <w:rPr>
          <w:rFonts w:cs="Arial"/>
          <w:sz w:val="20"/>
        </w:rPr>
        <w:t>Každá faktúra musí obsahovať všetky zákonom predpísané náležitosti.</w:t>
      </w:r>
    </w:p>
    <w:p w14:paraId="3E61DB48" w14:textId="5B5704F9" w:rsidR="000F5B2E" w:rsidRPr="00751ED9" w:rsidRDefault="00C873F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C873FF">
        <w:rPr>
          <w:rFonts w:cs="Arial"/>
          <w:sz w:val="20"/>
        </w:rPr>
        <w:t xml:space="preserve">Nesprávne vystavenú faktúru má </w:t>
      </w:r>
      <w:r w:rsidR="0058651F">
        <w:rPr>
          <w:rFonts w:cs="Arial"/>
          <w:sz w:val="20"/>
        </w:rPr>
        <w:t xml:space="preserve">Kupujúci </w:t>
      </w:r>
      <w:r w:rsidRPr="00C873FF">
        <w:rPr>
          <w:rFonts w:cs="Arial"/>
          <w:sz w:val="20"/>
        </w:rPr>
        <w:t xml:space="preserve">právo vrátiť </w:t>
      </w:r>
      <w:r w:rsidR="00AD2717">
        <w:rPr>
          <w:rFonts w:cs="Arial"/>
          <w:sz w:val="20"/>
        </w:rPr>
        <w:t>Predávajúcemu</w:t>
      </w:r>
      <w:r w:rsidRPr="00C873FF">
        <w:rPr>
          <w:rFonts w:cs="Arial"/>
          <w:sz w:val="20"/>
        </w:rPr>
        <w:t xml:space="preserve"> s uvedením konkrétnej výhrady bez zbytočného odkladu. V tomto prípade sa plynutie pôvodnej lehoty splatnosti zastaví, doručením novej (správne vystavenej) faktúry začne plynúť nová lehota splatnosti.</w:t>
      </w:r>
    </w:p>
    <w:bookmarkEnd w:id="5"/>
    <w:p w14:paraId="049F31CB" w14:textId="77777777" w:rsidR="00F36A2D" w:rsidRPr="00384AE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6" w:name="_Hlk109913591"/>
    </w:p>
    <w:p w14:paraId="2B4A4AD3" w14:textId="77777777" w:rsidR="00314C2B" w:rsidRPr="00007E08" w:rsidRDefault="00314C2B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56C8B21C" w:rsidR="00314C2B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DA3F53">
        <w:rPr>
          <w:rFonts w:cs="Arial"/>
          <w:sz w:val="20"/>
        </w:rPr>
        <w:t>1</w:t>
      </w:r>
      <w:r w:rsidR="00ED63EC">
        <w:rPr>
          <w:rFonts w:cs="Arial"/>
          <w:sz w:val="20"/>
          <w:lang w:val="sk-SK"/>
        </w:rPr>
        <w:t>2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1ABB6557" w:rsidR="00A568FB" w:rsidRDefault="00A568F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</w:t>
      </w:r>
      <w:r w:rsidR="000D5715">
        <w:rPr>
          <w:rFonts w:cs="Arial"/>
          <w:sz w:val="20"/>
        </w:rPr>
        <w:t>48</w:t>
      </w:r>
      <w:r w:rsidRPr="00F516DE">
        <w:rPr>
          <w:rFonts w:cs="Arial"/>
          <w:sz w:val="20"/>
        </w:rPr>
        <w:t xml:space="preserve">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</w:t>
      </w:r>
      <w:r w:rsidRPr="00F516DE">
        <w:rPr>
          <w:rFonts w:cs="Arial"/>
          <w:sz w:val="20"/>
        </w:rPr>
        <w:lastRenderedPageBreak/>
        <w:t xml:space="preserve">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74B05646" w:rsidR="00314C2B" w:rsidRPr="003E4439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t xml:space="preserve">Ak Predávajúci neodovzdá Predmet kúpy riadne (bez vád) a včas, je Predávajúci povinný zaplatiť Kupujúcemu zmluvnú pokutu vo výške 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0,1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77777777" w:rsidR="00A568FB" w:rsidRPr="003E4439" w:rsidRDefault="00A568FB" w:rsidP="00831A57">
      <w:pPr>
        <w:pStyle w:val="Zkladntext"/>
        <w:numPr>
          <w:ilvl w:val="1"/>
          <w:numId w:val="3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57516E1F" w:rsidR="00094E37" w:rsidRPr="003E4439" w:rsidRDefault="00094E37" w:rsidP="00831A57">
      <w:pPr>
        <w:pStyle w:val="Zkladntext"/>
        <w:numPr>
          <w:ilvl w:val="1"/>
          <w:numId w:val="3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10 dní za obdobie jedného roka a zároveň nebude dlhšie ako </w:t>
      </w:r>
      <w:r w:rsidR="004C3632">
        <w:rPr>
          <w:rFonts w:cs="Arial"/>
          <w:sz w:val="20"/>
        </w:rPr>
        <w:t>3</w:t>
      </w:r>
      <w:r w:rsidRPr="6519F7EB">
        <w:rPr>
          <w:rFonts w:cs="Arial"/>
          <w:sz w:val="20"/>
        </w:rPr>
        <w:t xml:space="preserve"> po sebe nasledujúce pracovné dni. V prípade, že obmedzenie prevádzkyschopnosti zariadenia presiahne uvedené doby,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124261DB" w:rsidR="00314C2B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Predávajúci je povinný zmluvné pokuty zaplatiť v deň, kedy na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62486C05" w14:textId="77777777" w:rsidR="00F36A2D" w:rsidRPr="00815114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bookmarkEnd w:id="6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831A57">
      <w:pPr>
        <w:pStyle w:val="Zkladntext"/>
        <w:numPr>
          <w:ilvl w:val="0"/>
          <w:numId w:val="3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7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D8E8146" w14:textId="3B5223D6" w:rsidR="00007E08" w:rsidRPr="00D64C5D" w:rsidRDefault="00007E08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lastRenderedPageBreak/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>mluvy, ale ňou výslovne neupravené</w:t>
      </w:r>
      <w:r w:rsidR="00906EBB">
        <w:rPr>
          <w:rFonts w:cs="Arial"/>
          <w:sz w:val="20"/>
        </w:rPr>
        <w:t>,</w:t>
      </w:r>
      <w:r w:rsidRPr="00D64C5D">
        <w:rPr>
          <w:rFonts w:cs="Arial"/>
          <w:sz w:val="20"/>
        </w:rPr>
        <w:t xml:space="preserve"> sa vzťahujú príslušné ustanovenia </w:t>
      </w:r>
      <w:r w:rsidR="006F150A">
        <w:rPr>
          <w:rFonts w:cs="Arial"/>
          <w:sz w:val="20"/>
          <w:lang w:val="sk-SK"/>
        </w:rPr>
        <w:t>O</w:t>
      </w:r>
      <w:r w:rsidRPr="00D64C5D">
        <w:rPr>
          <w:rFonts w:cs="Arial"/>
          <w:sz w:val="20"/>
        </w:rPr>
        <w:t xml:space="preserve">bchodného zákonníka. </w:t>
      </w:r>
    </w:p>
    <w:p w14:paraId="19A8CCE7" w14:textId="77777777" w:rsidR="00007E08" w:rsidRDefault="00405243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442A14F4" w14:textId="77777777" w:rsidR="00007E08" w:rsidRPr="00AF67A3" w:rsidRDefault="000034F9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Keďže na financovanie predmetu kúpy podľa tejto Zmluvy žiada Kupujúci nenávratný finančný príspevok z fondov Európskej únie (ďalej len „Žiadosť“), teda Kupujúci má záujem realizovať kúpu podľa tejto Zmluvy zo zdrojov získaných Žiadosťou, vyhradzuje si Kupujúci právo odstúpiť od tejto Zmluvy, </w:t>
      </w:r>
      <w:r w:rsidRPr="00AF67A3">
        <w:rPr>
          <w:rFonts w:cs="Arial"/>
          <w:sz w:val="20"/>
        </w:rPr>
        <w:t>ak Žiadosť nebude príslušným orgánom schválená, alebo nedôjde k podpisu zmluvy o poskytnutí finančného príspevku na základe podanej Žiadosti</w:t>
      </w:r>
      <w:r w:rsidR="00A51375" w:rsidRPr="00AF67A3">
        <w:rPr>
          <w:rFonts w:cs="Arial"/>
          <w:sz w:val="20"/>
        </w:rPr>
        <w:t>.</w:t>
      </w:r>
      <w:r w:rsidR="004357A7" w:rsidRPr="00AF67A3">
        <w:rPr>
          <w:rFonts w:cs="Arial"/>
          <w:sz w:val="20"/>
        </w:rPr>
        <w:t xml:space="preserve"> </w:t>
      </w:r>
    </w:p>
    <w:p w14:paraId="20C05413" w14:textId="77777777" w:rsidR="00560A52" w:rsidRPr="00560A52" w:rsidRDefault="00BB046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>berie na vedomie, že je povinný sa registrovať v registri partnerov verejného sektora podľa zákona č. 315/2016 Z.z.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31A57">
      <w:pPr>
        <w:pStyle w:val="Zkladntext"/>
        <w:numPr>
          <w:ilvl w:val="1"/>
          <w:numId w:val="3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6EC065CF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660EB74C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478AC16E" w14:textId="7CFBE6C7" w:rsidR="008A7A48" w:rsidRPr="000E2E9D" w:rsidRDefault="005824B0" w:rsidP="005824B0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</w:rPr>
        <w:t>Predávajúceho</w:t>
      </w:r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617C9B73" w:rsidR="00864F04" w:rsidRPr="00A65DF6" w:rsidRDefault="00E24D9F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</w:t>
      </w:r>
      <w:r w:rsidR="008C0758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  <w:t>V</w:t>
      </w:r>
      <w:r w:rsidR="00E17EAA">
        <w:rPr>
          <w:rFonts w:ascii="Arial" w:hAnsi="Arial" w:cs="Arial"/>
          <w:lang w:val="sk-SK"/>
        </w:rPr>
        <w:t>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="00E17EAA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7"/>
    </w:p>
    <w:p w14:paraId="3154C673" w14:textId="4EA77483" w:rsidR="00E17EAA" w:rsidRDefault="00E24D9F" w:rsidP="00531B6B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="009A38CF" w:rsidRPr="006B77D4">
        <w:rPr>
          <w:rFonts w:ascii="Arial" w:hAnsi="Arial"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E17EAA" w:rsidRPr="008C0758">
        <w:rPr>
          <w:rFonts w:ascii="Arial" w:hAnsi="Arial" w:cs="Arial"/>
          <w:lang w:val="sk-SK"/>
        </w:rPr>
        <w:t>Ing. Anton Cebo, predseda družstva</w:t>
      </w:r>
    </w:p>
    <w:sectPr w:rsidR="00E17EAA" w:rsidSect="006E7765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046E" w14:textId="77777777" w:rsidR="00E327EF" w:rsidRDefault="00E327EF">
      <w:r>
        <w:separator/>
      </w:r>
    </w:p>
  </w:endnote>
  <w:endnote w:type="continuationSeparator" w:id="0">
    <w:p w14:paraId="2AE3C30C" w14:textId="77777777" w:rsidR="00E327EF" w:rsidRDefault="00E327EF">
      <w:r>
        <w:continuationSeparator/>
      </w:r>
    </w:p>
  </w:endnote>
  <w:endnote w:type="continuationNotice" w:id="1">
    <w:p w14:paraId="692429BF" w14:textId="77777777" w:rsidR="00E327EF" w:rsidRDefault="00E32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0050" w14:textId="77777777" w:rsidR="00E327EF" w:rsidRDefault="00E327EF">
      <w:r>
        <w:separator/>
      </w:r>
    </w:p>
  </w:footnote>
  <w:footnote w:type="continuationSeparator" w:id="0">
    <w:p w14:paraId="77585C33" w14:textId="77777777" w:rsidR="00E327EF" w:rsidRDefault="00E327EF">
      <w:r>
        <w:continuationSeparator/>
      </w:r>
    </w:p>
  </w:footnote>
  <w:footnote w:type="continuationNotice" w:id="1">
    <w:p w14:paraId="17077F34" w14:textId="77777777" w:rsidR="00E327EF" w:rsidRDefault="00E32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1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5465082">
    <w:abstractNumId w:val="2"/>
  </w:num>
  <w:num w:numId="2" w16cid:durableId="884223340">
    <w:abstractNumId w:val="0"/>
  </w:num>
  <w:num w:numId="3" w16cid:durableId="3452548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0CF6"/>
    <w:rsid w:val="00012F45"/>
    <w:rsid w:val="000132E8"/>
    <w:rsid w:val="00014563"/>
    <w:rsid w:val="00015141"/>
    <w:rsid w:val="000332F8"/>
    <w:rsid w:val="00043212"/>
    <w:rsid w:val="00047552"/>
    <w:rsid w:val="00051C4A"/>
    <w:rsid w:val="0006140E"/>
    <w:rsid w:val="000622B6"/>
    <w:rsid w:val="00065AB7"/>
    <w:rsid w:val="00073A59"/>
    <w:rsid w:val="00077AB7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D42F6"/>
    <w:rsid w:val="000D5715"/>
    <w:rsid w:val="000E2E9D"/>
    <w:rsid w:val="000E4D80"/>
    <w:rsid w:val="000F09AB"/>
    <w:rsid w:val="000F30A1"/>
    <w:rsid w:val="000F4D67"/>
    <w:rsid w:val="000F5B2E"/>
    <w:rsid w:val="000F6728"/>
    <w:rsid w:val="00104549"/>
    <w:rsid w:val="001051A4"/>
    <w:rsid w:val="00112D71"/>
    <w:rsid w:val="001164E5"/>
    <w:rsid w:val="00117175"/>
    <w:rsid w:val="00117372"/>
    <w:rsid w:val="00120ECF"/>
    <w:rsid w:val="001259EA"/>
    <w:rsid w:val="00140759"/>
    <w:rsid w:val="00141FEA"/>
    <w:rsid w:val="0015109C"/>
    <w:rsid w:val="00151132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87CD2"/>
    <w:rsid w:val="00190CF7"/>
    <w:rsid w:val="00193C2D"/>
    <w:rsid w:val="00193DF4"/>
    <w:rsid w:val="00196779"/>
    <w:rsid w:val="001A13BA"/>
    <w:rsid w:val="001A15B9"/>
    <w:rsid w:val="001A4D2C"/>
    <w:rsid w:val="001A7EE4"/>
    <w:rsid w:val="001B0FB3"/>
    <w:rsid w:val="001B18A3"/>
    <w:rsid w:val="001B704A"/>
    <w:rsid w:val="001C1E23"/>
    <w:rsid w:val="001C2284"/>
    <w:rsid w:val="001C52A9"/>
    <w:rsid w:val="001D1254"/>
    <w:rsid w:val="001D14CA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1F7DD5"/>
    <w:rsid w:val="00200884"/>
    <w:rsid w:val="00200C32"/>
    <w:rsid w:val="0021449D"/>
    <w:rsid w:val="00216C62"/>
    <w:rsid w:val="002255E1"/>
    <w:rsid w:val="002257A7"/>
    <w:rsid w:val="00231908"/>
    <w:rsid w:val="002330D8"/>
    <w:rsid w:val="00233326"/>
    <w:rsid w:val="00235140"/>
    <w:rsid w:val="00235F49"/>
    <w:rsid w:val="00242062"/>
    <w:rsid w:val="00247A0A"/>
    <w:rsid w:val="002522FB"/>
    <w:rsid w:val="00252CC2"/>
    <w:rsid w:val="00254D25"/>
    <w:rsid w:val="002618B2"/>
    <w:rsid w:val="00262CA0"/>
    <w:rsid w:val="002649F0"/>
    <w:rsid w:val="00265B82"/>
    <w:rsid w:val="00271444"/>
    <w:rsid w:val="0027147A"/>
    <w:rsid w:val="00273075"/>
    <w:rsid w:val="00273A34"/>
    <w:rsid w:val="00277004"/>
    <w:rsid w:val="00281272"/>
    <w:rsid w:val="0028161F"/>
    <w:rsid w:val="002858A1"/>
    <w:rsid w:val="002868D4"/>
    <w:rsid w:val="00286C50"/>
    <w:rsid w:val="00287B16"/>
    <w:rsid w:val="00291A72"/>
    <w:rsid w:val="00291A84"/>
    <w:rsid w:val="00291E75"/>
    <w:rsid w:val="0029382B"/>
    <w:rsid w:val="0029789A"/>
    <w:rsid w:val="002A123B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240C"/>
    <w:rsid w:val="002D3CA8"/>
    <w:rsid w:val="002D4AE6"/>
    <w:rsid w:val="002D61ED"/>
    <w:rsid w:val="002D6AA4"/>
    <w:rsid w:val="002E4F6C"/>
    <w:rsid w:val="002F27E5"/>
    <w:rsid w:val="002F6D89"/>
    <w:rsid w:val="002F70A3"/>
    <w:rsid w:val="00302348"/>
    <w:rsid w:val="00303299"/>
    <w:rsid w:val="00305B2A"/>
    <w:rsid w:val="00307893"/>
    <w:rsid w:val="00311BDB"/>
    <w:rsid w:val="00314C2B"/>
    <w:rsid w:val="003216F1"/>
    <w:rsid w:val="00321FB6"/>
    <w:rsid w:val="00326116"/>
    <w:rsid w:val="00327974"/>
    <w:rsid w:val="0033542E"/>
    <w:rsid w:val="0033655C"/>
    <w:rsid w:val="003366BB"/>
    <w:rsid w:val="00342D99"/>
    <w:rsid w:val="003525E2"/>
    <w:rsid w:val="00353486"/>
    <w:rsid w:val="00362121"/>
    <w:rsid w:val="0036233C"/>
    <w:rsid w:val="00362D6C"/>
    <w:rsid w:val="0036366E"/>
    <w:rsid w:val="003642C7"/>
    <w:rsid w:val="00372DE9"/>
    <w:rsid w:val="00374E71"/>
    <w:rsid w:val="00376925"/>
    <w:rsid w:val="00382025"/>
    <w:rsid w:val="003835CE"/>
    <w:rsid w:val="00392027"/>
    <w:rsid w:val="003920EB"/>
    <w:rsid w:val="00392E9B"/>
    <w:rsid w:val="00392FFB"/>
    <w:rsid w:val="003945BD"/>
    <w:rsid w:val="003A17B4"/>
    <w:rsid w:val="003A2CC5"/>
    <w:rsid w:val="003A7A69"/>
    <w:rsid w:val="003B5CAF"/>
    <w:rsid w:val="003C31B3"/>
    <w:rsid w:val="003C3CA5"/>
    <w:rsid w:val="003C4055"/>
    <w:rsid w:val="003C6106"/>
    <w:rsid w:val="003D13C3"/>
    <w:rsid w:val="003D671A"/>
    <w:rsid w:val="003E2E77"/>
    <w:rsid w:val="003E3C34"/>
    <w:rsid w:val="003E4439"/>
    <w:rsid w:val="003F3181"/>
    <w:rsid w:val="003F7A18"/>
    <w:rsid w:val="00401D91"/>
    <w:rsid w:val="00403CDA"/>
    <w:rsid w:val="004040A4"/>
    <w:rsid w:val="00405243"/>
    <w:rsid w:val="00406D42"/>
    <w:rsid w:val="00412B22"/>
    <w:rsid w:val="00413381"/>
    <w:rsid w:val="00414805"/>
    <w:rsid w:val="00421201"/>
    <w:rsid w:val="00423E3B"/>
    <w:rsid w:val="00427E27"/>
    <w:rsid w:val="0043371F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3A69"/>
    <w:rsid w:val="00454003"/>
    <w:rsid w:val="0045574E"/>
    <w:rsid w:val="00455AD0"/>
    <w:rsid w:val="004625F6"/>
    <w:rsid w:val="004626A9"/>
    <w:rsid w:val="004714B2"/>
    <w:rsid w:val="0047694C"/>
    <w:rsid w:val="0047718B"/>
    <w:rsid w:val="00480A5F"/>
    <w:rsid w:val="00482A42"/>
    <w:rsid w:val="00483190"/>
    <w:rsid w:val="004839C8"/>
    <w:rsid w:val="00490809"/>
    <w:rsid w:val="004940C5"/>
    <w:rsid w:val="0049442C"/>
    <w:rsid w:val="00497FA3"/>
    <w:rsid w:val="004A0108"/>
    <w:rsid w:val="004A3132"/>
    <w:rsid w:val="004A3E88"/>
    <w:rsid w:val="004A472D"/>
    <w:rsid w:val="004A4BF4"/>
    <w:rsid w:val="004A6C41"/>
    <w:rsid w:val="004B447B"/>
    <w:rsid w:val="004C1D83"/>
    <w:rsid w:val="004C3632"/>
    <w:rsid w:val="004C4BB8"/>
    <w:rsid w:val="004C5ACC"/>
    <w:rsid w:val="004D08A5"/>
    <w:rsid w:val="004D21D0"/>
    <w:rsid w:val="004D506C"/>
    <w:rsid w:val="004E47EF"/>
    <w:rsid w:val="004E55A5"/>
    <w:rsid w:val="004F2343"/>
    <w:rsid w:val="004F392D"/>
    <w:rsid w:val="004F571D"/>
    <w:rsid w:val="0050177D"/>
    <w:rsid w:val="00502E5E"/>
    <w:rsid w:val="005053BF"/>
    <w:rsid w:val="005053FB"/>
    <w:rsid w:val="0050602A"/>
    <w:rsid w:val="00523D54"/>
    <w:rsid w:val="00523EF3"/>
    <w:rsid w:val="00525D1C"/>
    <w:rsid w:val="00526136"/>
    <w:rsid w:val="00526ED7"/>
    <w:rsid w:val="005308AD"/>
    <w:rsid w:val="00531B6B"/>
    <w:rsid w:val="0053412E"/>
    <w:rsid w:val="00540604"/>
    <w:rsid w:val="005429C5"/>
    <w:rsid w:val="00543CA3"/>
    <w:rsid w:val="00546766"/>
    <w:rsid w:val="00547062"/>
    <w:rsid w:val="00552D9D"/>
    <w:rsid w:val="005537BF"/>
    <w:rsid w:val="00560A52"/>
    <w:rsid w:val="005653F4"/>
    <w:rsid w:val="005659A1"/>
    <w:rsid w:val="00572223"/>
    <w:rsid w:val="00576344"/>
    <w:rsid w:val="00577581"/>
    <w:rsid w:val="005808DC"/>
    <w:rsid w:val="0058141D"/>
    <w:rsid w:val="00581B3B"/>
    <w:rsid w:val="005824B0"/>
    <w:rsid w:val="0058651F"/>
    <w:rsid w:val="00591343"/>
    <w:rsid w:val="00596D8E"/>
    <w:rsid w:val="005B11D7"/>
    <w:rsid w:val="005B1769"/>
    <w:rsid w:val="005B57A8"/>
    <w:rsid w:val="005B7221"/>
    <w:rsid w:val="005C051F"/>
    <w:rsid w:val="005C4B1A"/>
    <w:rsid w:val="005C5846"/>
    <w:rsid w:val="005D3CDC"/>
    <w:rsid w:val="005D7141"/>
    <w:rsid w:val="005D7BBC"/>
    <w:rsid w:val="005E0FCA"/>
    <w:rsid w:val="005E45F3"/>
    <w:rsid w:val="005E5E56"/>
    <w:rsid w:val="005E62E0"/>
    <w:rsid w:val="005F1C56"/>
    <w:rsid w:val="005F4A52"/>
    <w:rsid w:val="00600DC7"/>
    <w:rsid w:val="006010A4"/>
    <w:rsid w:val="0060176A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3785"/>
    <w:rsid w:val="00655457"/>
    <w:rsid w:val="006560AB"/>
    <w:rsid w:val="006564D3"/>
    <w:rsid w:val="0065788F"/>
    <w:rsid w:val="00664A06"/>
    <w:rsid w:val="00664D12"/>
    <w:rsid w:val="00666588"/>
    <w:rsid w:val="00666740"/>
    <w:rsid w:val="00670055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B77D4"/>
    <w:rsid w:val="006C01CB"/>
    <w:rsid w:val="006C1573"/>
    <w:rsid w:val="006C2BCA"/>
    <w:rsid w:val="006C3E55"/>
    <w:rsid w:val="006C7E1B"/>
    <w:rsid w:val="006D3882"/>
    <w:rsid w:val="006D6FE9"/>
    <w:rsid w:val="006E0285"/>
    <w:rsid w:val="006E45DC"/>
    <w:rsid w:val="006E4FB2"/>
    <w:rsid w:val="006E5824"/>
    <w:rsid w:val="006E5949"/>
    <w:rsid w:val="006E7765"/>
    <w:rsid w:val="006F150A"/>
    <w:rsid w:val="006F22A8"/>
    <w:rsid w:val="006F22D5"/>
    <w:rsid w:val="006F3A45"/>
    <w:rsid w:val="006F5101"/>
    <w:rsid w:val="006F7E7E"/>
    <w:rsid w:val="00700AD6"/>
    <w:rsid w:val="00705FA5"/>
    <w:rsid w:val="007078C4"/>
    <w:rsid w:val="007140DE"/>
    <w:rsid w:val="0071415A"/>
    <w:rsid w:val="00715C69"/>
    <w:rsid w:val="00724F40"/>
    <w:rsid w:val="0072555E"/>
    <w:rsid w:val="007321E5"/>
    <w:rsid w:val="007342DF"/>
    <w:rsid w:val="00734665"/>
    <w:rsid w:val="0073482B"/>
    <w:rsid w:val="0073647E"/>
    <w:rsid w:val="00747DBA"/>
    <w:rsid w:val="00751ED9"/>
    <w:rsid w:val="00756712"/>
    <w:rsid w:val="007605DC"/>
    <w:rsid w:val="00767785"/>
    <w:rsid w:val="00771728"/>
    <w:rsid w:val="00780466"/>
    <w:rsid w:val="00782896"/>
    <w:rsid w:val="00782DEC"/>
    <w:rsid w:val="00786B51"/>
    <w:rsid w:val="0079067F"/>
    <w:rsid w:val="007908A9"/>
    <w:rsid w:val="00794934"/>
    <w:rsid w:val="00795A3D"/>
    <w:rsid w:val="007A5697"/>
    <w:rsid w:val="007A593C"/>
    <w:rsid w:val="007A63D8"/>
    <w:rsid w:val="007A6982"/>
    <w:rsid w:val="007A6D2A"/>
    <w:rsid w:val="007A7204"/>
    <w:rsid w:val="007A7A64"/>
    <w:rsid w:val="007B0629"/>
    <w:rsid w:val="007B0E92"/>
    <w:rsid w:val="007B1C1A"/>
    <w:rsid w:val="007B3DFB"/>
    <w:rsid w:val="007B5CC5"/>
    <w:rsid w:val="007B7604"/>
    <w:rsid w:val="007C0A8B"/>
    <w:rsid w:val="007C0EC2"/>
    <w:rsid w:val="007C2ECF"/>
    <w:rsid w:val="007C3A4F"/>
    <w:rsid w:val="007C4095"/>
    <w:rsid w:val="007D1367"/>
    <w:rsid w:val="007D21A3"/>
    <w:rsid w:val="007D7645"/>
    <w:rsid w:val="007D7889"/>
    <w:rsid w:val="007F4056"/>
    <w:rsid w:val="007F571B"/>
    <w:rsid w:val="007F7DC9"/>
    <w:rsid w:val="00800E1B"/>
    <w:rsid w:val="008018B9"/>
    <w:rsid w:val="0080269B"/>
    <w:rsid w:val="008026E9"/>
    <w:rsid w:val="0080428A"/>
    <w:rsid w:val="00805BC6"/>
    <w:rsid w:val="0080637B"/>
    <w:rsid w:val="008079D9"/>
    <w:rsid w:val="00810187"/>
    <w:rsid w:val="00810954"/>
    <w:rsid w:val="008137B9"/>
    <w:rsid w:val="00813CC2"/>
    <w:rsid w:val="00815114"/>
    <w:rsid w:val="0081773E"/>
    <w:rsid w:val="00824347"/>
    <w:rsid w:val="00827F83"/>
    <w:rsid w:val="008313C4"/>
    <w:rsid w:val="00831A57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4EA6"/>
    <w:rsid w:val="00855590"/>
    <w:rsid w:val="00856135"/>
    <w:rsid w:val="00861490"/>
    <w:rsid w:val="0086272B"/>
    <w:rsid w:val="00864F04"/>
    <w:rsid w:val="008706DA"/>
    <w:rsid w:val="008767E9"/>
    <w:rsid w:val="0087747A"/>
    <w:rsid w:val="00881D0A"/>
    <w:rsid w:val="008830C9"/>
    <w:rsid w:val="0088381B"/>
    <w:rsid w:val="008919F1"/>
    <w:rsid w:val="008A055D"/>
    <w:rsid w:val="008A32F7"/>
    <w:rsid w:val="008A5CBA"/>
    <w:rsid w:val="008A71A7"/>
    <w:rsid w:val="008A7A48"/>
    <w:rsid w:val="008B0AC4"/>
    <w:rsid w:val="008B0B77"/>
    <w:rsid w:val="008B0C3C"/>
    <w:rsid w:val="008B3B30"/>
    <w:rsid w:val="008B42CF"/>
    <w:rsid w:val="008C0758"/>
    <w:rsid w:val="008C687C"/>
    <w:rsid w:val="008C7194"/>
    <w:rsid w:val="008D392C"/>
    <w:rsid w:val="008D3C0A"/>
    <w:rsid w:val="008E012F"/>
    <w:rsid w:val="008E1436"/>
    <w:rsid w:val="008E2CE7"/>
    <w:rsid w:val="008E6691"/>
    <w:rsid w:val="008E6B13"/>
    <w:rsid w:val="008E6C8A"/>
    <w:rsid w:val="008E7206"/>
    <w:rsid w:val="008F525B"/>
    <w:rsid w:val="008F7D0D"/>
    <w:rsid w:val="00902F90"/>
    <w:rsid w:val="0090419D"/>
    <w:rsid w:val="00906EBB"/>
    <w:rsid w:val="009077E9"/>
    <w:rsid w:val="00907BA5"/>
    <w:rsid w:val="00912583"/>
    <w:rsid w:val="00915E8C"/>
    <w:rsid w:val="009222A9"/>
    <w:rsid w:val="00922776"/>
    <w:rsid w:val="00925872"/>
    <w:rsid w:val="00927080"/>
    <w:rsid w:val="00931985"/>
    <w:rsid w:val="00931E61"/>
    <w:rsid w:val="00932066"/>
    <w:rsid w:val="00933F58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2CD4"/>
    <w:rsid w:val="00995727"/>
    <w:rsid w:val="009A3359"/>
    <w:rsid w:val="009A38CF"/>
    <w:rsid w:val="009A59B4"/>
    <w:rsid w:val="009A6017"/>
    <w:rsid w:val="009C34E6"/>
    <w:rsid w:val="009D6106"/>
    <w:rsid w:val="009E4146"/>
    <w:rsid w:val="009F45EC"/>
    <w:rsid w:val="009F621E"/>
    <w:rsid w:val="00A0488F"/>
    <w:rsid w:val="00A0526B"/>
    <w:rsid w:val="00A05997"/>
    <w:rsid w:val="00A07AFD"/>
    <w:rsid w:val="00A10A67"/>
    <w:rsid w:val="00A11C06"/>
    <w:rsid w:val="00A16443"/>
    <w:rsid w:val="00A20D23"/>
    <w:rsid w:val="00A26473"/>
    <w:rsid w:val="00A27A65"/>
    <w:rsid w:val="00A32016"/>
    <w:rsid w:val="00A3429C"/>
    <w:rsid w:val="00A37E6E"/>
    <w:rsid w:val="00A417B7"/>
    <w:rsid w:val="00A421A8"/>
    <w:rsid w:val="00A51140"/>
    <w:rsid w:val="00A51375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541B"/>
    <w:rsid w:val="00A77AE0"/>
    <w:rsid w:val="00A8016E"/>
    <w:rsid w:val="00A821E9"/>
    <w:rsid w:val="00A86C77"/>
    <w:rsid w:val="00A92FCD"/>
    <w:rsid w:val="00A94F9F"/>
    <w:rsid w:val="00AA5798"/>
    <w:rsid w:val="00AB44AA"/>
    <w:rsid w:val="00AB4F4B"/>
    <w:rsid w:val="00AB64F7"/>
    <w:rsid w:val="00AC04E4"/>
    <w:rsid w:val="00AC1991"/>
    <w:rsid w:val="00AC5359"/>
    <w:rsid w:val="00AD2717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339"/>
    <w:rsid w:val="00AF67A3"/>
    <w:rsid w:val="00AF7178"/>
    <w:rsid w:val="00B02E51"/>
    <w:rsid w:val="00B0652A"/>
    <w:rsid w:val="00B07BF4"/>
    <w:rsid w:val="00B17422"/>
    <w:rsid w:val="00B25A4C"/>
    <w:rsid w:val="00B267AE"/>
    <w:rsid w:val="00B327A1"/>
    <w:rsid w:val="00B32821"/>
    <w:rsid w:val="00B35FD8"/>
    <w:rsid w:val="00B40502"/>
    <w:rsid w:val="00B44A03"/>
    <w:rsid w:val="00B47DA3"/>
    <w:rsid w:val="00B51A10"/>
    <w:rsid w:val="00B5348A"/>
    <w:rsid w:val="00B56C6F"/>
    <w:rsid w:val="00B62623"/>
    <w:rsid w:val="00B66B9C"/>
    <w:rsid w:val="00B66E24"/>
    <w:rsid w:val="00B70047"/>
    <w:rsid w:val="00B72572"/>
    <w:rsid w:val="00B74AEB"/>
    <w:rsid w:val="00B74DAE"/>
    <w:rsid w:val="00B774DF"/>
    <w:rsid w:val="00B82967"/>
    <w:rsid w:val="00B8632D"/>
    <w:rsid w:val="00B9383B"/>
    <w:rsid w:val="00B944E5"/>
    <w:rsid w:val="00B9560F"/>
    <w:rsid w:val="00BA142F"/>
    <w:rsid w:val="00BA216C"/>
    <w:rsid w:val="00BA4B5D"/>
    <w:rsid w:val="00BA5838"/>
    <w:rsid w:val="00BA6599"/>
    <w:rsid w:val="00BB046B"/>
    <w:rsid w:val="00BB5E7D"/>
    <w:rsid w:val="00BB5F04"/>
    <w:rsid w:val="00BC1471"/>
    <w:rsid w:val="00BC18CE"/>
    <w:rsid w:val="00BC2336"/>
    <w:rsid w:val="00BC2D38"/>
    <w:rsid w:val="00BD5FF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62961"/>
    <w:rsid w:val="00C7246F"/>
    <w:rsid w:val="00C73F83"/>
    <w:rsid w:val="00C74A0F"/>
    <w:rsid w:val="00C75708"/>
    <w:rsid w:val="00C76086"/>
    <w:rsid w:val="00C805BA"/>
    <w:rsid w:val="00C85AA2"/>
    <w:rsid w:val="00C86115"/>
    <w:rsid w:val="00C873FF"/>
    <w:rsid w:val="00C903C9"/>
    <w:rsid w:val="00C912FD"/>
    <w:rsid w:val="00C9139E"/>
    <w:rsid w:val="00C935C9"/>
    <w:rsid w:val="00CA3B2C"/>
    <w:rsid w:val="00CA500B"/>
    <w:rsid w:val="00CA51B4"/>
    <w:rsid w:val="00CA65F5"/>
    <w:rsid w:val="00CB0E24"/>
    <w:rsid w:val="00CB284E"/>
    <w:rsid w:val="00CB5430"/>
    <w:rsid w:val="00CC000D"/>
    <w:rsid w:val="00CC231B"/>
    <w:rsid w:val="00CC459B"/>
    <w:rsid w:val="00CD3BC6"/>
    <w:rsid w:val="00CD4643"/>
    <w:rsid w:val="00CD5367"/>
    <w:rsid w:val="00CE042D"/>
    <w:rsid w:val="00CE2B7C"/>
    <w:rsid w:val="00CF0824"/>
    <w:rsid w:val="00CF14A4"/>
    <w:rsid w:val="00CF1D40"/>
    <w:rsid w:val="00CF30BC"/>
    <w:rsid w:val="00CF4EB4"/>
    <w:rsid w:val="00CF64F6"/>
    <w:rsid w:val="00D02C23"/>
    <w:rsid w:val="00D05835"/>
    <w:rsid w:val="00D1136C"/>
    <w:rsid w:val="00D11C05"/>
    <w:rsid w:val="00D17B4E"/>
    <w:rsid w:val="00D30998"/>
    <w:rsid w:val="00D350F0"/>
    <w:rsid w:val="00D35596"/>
    <w:rsid w:val="00D35987"/>
    <w:rsid w:val="00D420CE"/>
    <w:rsid w:val="00D42864"/>
    <w:rsid w:val="00D43028"/>
    <w:rsid w:val="00D44406"/>
    <w:rsid w:val="00D44805"/>
    <w:rsid w:val="00D449DC"/>
    <w:rsid w:val="00D44A60"/>
    <w:rsid w:val="00D45CFA"/>
    <w:rsid w:val="00D47889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2D7"/>
    <w:rsid w:val="00D755FD"/>
    <w:rsid w:val="00D76516"/>
    <w:rsid w:val="00D80DFA"/>
    <w:rsid w:val="00D821EF"/>
    <w:rsid w:val="00D92160"/>
    <w:rsid w:val="00D93B19"/>
    <w:rsid w:val="00D94259"/>
    <w:rsid w:val="00D96D51"/>
    <w:rsid w:val="00DA3F53"/>
    <w:rsid w:val="00DB33BE"/>
    <w:rsid w:val="00DB406A"/>
    <w:rsid w:val="00DB4085"/>
    <w:rsid w:val="00DB4487"/>
    <w:rsid w:val="00DB5613"/>
    <w:rsid w:val="00DB59B1"/>
    <w:rsid w:val="00DC30A6"/>
    <w:rsid w:val="00DC7020"/>
    <w:rsid w:val="00DD08AD"/>
    <w:rsid w:val="00DD2618"/>
    <w:rsid w:val="00DE0A55"/>
    <w:rsid w:val="00DE1F2B"/>
    <w:rsid w:val="00DF138D"/>
    <w:rsid w:val="00DF1EAC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17EAA"/>
    <w:rsid w:val="00E20E9A"/>
    <w:rsid w:val="00E22D3D"/>
    <w:rsid w:val="00E24D9F"/>
    <w:rsid w:val="00E26169"/>
    <w:rsid w:val="00E274AC"/>
    <w:rsid w:val="00E31451"/>
    <w:rsid w:val="00E31A55"/>
    <w:rsid w:val="00E31D9B"/>
    <w:rsid w:val="00E327EF"/>
    <w:rsid w:val="00E32B8F"/>
    <w:rsid w:val="00E334EC"/>
    <w:rsid w:val="00E3543D"/>
    <w:rsid w:val="00E36BBF"/>
    <w:rsid w:val="00E47838"/>
    <w:rsid w:val="00E5038D"/>
    <w:rsid w:val="00E5156B"/>
    <w:rsid w:val="00E51697"/>
    <w:rsid w:val="00E52EBF"/>
    <w:rsid w:val="00E6477E"/>
    <w:rsid w:val="00E73729"/>
    <w:rsid w:val="00E743A7"/>
    <w:rsid w:val="00E773FD"/>
    <w:rsid w:val="00E80071"/>
    <w:rsid w:val="00E84AA0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6778"/>
    <w:rsid w:val="00ED1968"/>
    <w:rsid w:val="00ED3A2E"/>
    <w:rsid w:val="00ED3D36"/>
    <w:rsid w:val="00ED63EC"/>
    <w:rsid w:val="00EE2E6F"/>
    <w:rsid w:val="00EF25B7"/>
    <w:rsid w:val="00EF5EC3"/>
    <w:rsid w:val="00EF6448"/>
    <w:rsid w:val="00F019F5"/>
    <w:rsid w:val="00F02476"/>
    <w:rsid w:val="00F07D8B"/>
    <w:rsid w:val="00F07F33"/>
    <w:rsid w:val="00F14C1C"/>
    <w:rsid w:val="00F154E2"/>
    <w:rsid w:val="00F239CD"/>
    <w:rsid w:val="00F32CC8"/>
    <w:rsid w:val="00F356F2"/>
    <w:rsid w:val="00F367DC"/>
    <w:rsid w:val="00F36A2D"/>
    <w:rsid w:val="00F41719"/>
    <w:rsid w:val="00F52A7A"/>
    <w:rsid w:val="00F53007"/>
    <w:rsid w:val="00F6195E"/>
    <w:rsid w:val="00F62013"/>
    <w:rsid w:val="00F62551"/>
    <w:rsid w:val="00F67EA1"/>
    <w:rsid w:val="00F7032C"/>
    <w:rsid w:val="00F73BE3"/>
    <w:rsid w:val="00F74252"/>
    <w:rsid w:val="00F7430E"/>
    <w:rsid w:val="00F7433A"/>
    <w:rsid w:val="00F74CF9"/>
    <w:rsid w:val="00F754C4"/>
    <w:rsid w:val="00F8047A"/>
    <w:rsid w:val="00F90886"/>
    <w:rsid w:val="00F9246E"/>
    <w:rsid w:val="00F9249D"/>
    <w:rsid w:val="00F95CC9"/>
    <w:rsid w:val="00F96782"/>
    <w:rsid w:val="00FA24E4"/>
    <w:rsid w:val="00FA3498"/>
    <w:rsid w:val="00FA5B5E"/>
    <w:rsid w:val="00FB6EB1"/>
    <w:rsid w:val="00FC38B6"/>
    <w:rsid w:val="00FD0626"/>
    <w:rsid w:val="00FD3E90"/>
    <w:rsid w:val="00FD69ED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433E9566-A31F-4A3A-935F-A13D716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1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1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2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character" w:customStyle="1" w:styleId="tl">
    <w:name w:val="tl"/>
    <w:basedOn w:val="Predvolenpsmoodseku"/>
    <w:rsid w:val="00E5038D"/>
  </w:style>
  <w:style w:type="paragraph" w:styleId="Odsekzoznamu">
    <w:name w:val="List Paragraph"/>
    <w:basedOn w:val="Normlny"/>
    <w:uiPriority w:val="34"/>
    <w:qFormat/>
    <w:rsid w:val="006E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1460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Iveta Cebová</dc:creator>
  <cp:keywords/>
  <cp:lastModifiedBy>Iveta Cebová</cp:lastModifiedBy>
  <cp:revision>8</cp:revision>
  <cp:lastPrinted>2025-02-03T16:56:00Z</cp:lastPrinted>
  <dcterms:created xsi:type="dcterms:W3CDTF">2025-03-12T13:49:00Z</dcterms:created>
  <dcterms:modified xsi:type="dcterms:W3CDTF">2025-03-12T14:05:00Z</dcterms:modified>
</cp:coreProperties>
</file>