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50783284" w:rsidR="00D63123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2E36C640" w14:textId="6FBC1A98" w:rsidR="00517180" w:rsidRDefault="00517180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sekcia ekonomiky</w:t>
      </w:r>
    </w:p>
    <w:p w14:paraId="1E552F15" w14:textId="2ED91E9C" w:rsidR="00517180" w:rsidRPr="00517180" w:rsidRDefault="00517180" w:rsidP="00D63123">
      <w:pP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bookmarkStart w:id="0" w:name="_GoBack"/>
      <w:r w:rsidRPr="00517180">
        <w:rPr>
          <w:rFonts w:ascii="Arial Narrow" w:hAnsi="Arial Narrow"/>
          <w:b w:val="0"/>
          <w:sz w:val="22"/>
          <w:szCs w:val="22"/>
          <w:lang w:val="sk-SK"/>
        </w:rPr>
        <w:t>odbor komodít</w:t>
      </w:r>
    </w:p>
    <w:bookmarkEnd w:id="0"/>
    <w:p w14:paraId="400C1C3A" w14:textId="396AB833" w:rsidR="00D63123" w:rsidRPr="00B359CE" w:rsidRDefault="00CF19A5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Pribinova 2, 812 72 Bratislava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7067A59D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 </w:t>
      </w:r>
      <w:r w:rsidR="00DC6A03">
        <w:rPr>
          <w:rFonts w:ascii="Arial Narrow" w:hAnsi="Arial Narrow"/>
          <w:b w:val="0"/>
          <w:sz w:val="22"/>
          <w:szCs w:val="22"/>
          <w:lang w:val="sk-SK"/>
        </w:rPr>
        <w:t>SE-OK3-2025/004801-006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7615FBBF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z.o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0BC3202C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DC6A03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, oddelenie špeciálnych komodít odboru komodít sekcie ekonomiky</w:t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  </w:t>
      </w:r>
    </w:p>
    <w:p w14:paraId="1197AC28" w14:textId="6D9C3888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C6A03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Košická 47, 812 72 Bratislava 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8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7777777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1" w:name="kontakt_meno"/>
      <w:bookmarkEnd w:id="1"/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(uvedie sa meno a priezvisko osoby, ktorá realizuje zákazku)</w:t>
      </w:r>
    </w:p>
    <w:p w14:paraId="042B0575" w14:textId="1A691226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C6A03">
        <w:rPr>
          <w:rFonts w:ascii="Arial Narrow" w:hAnsi="Arial Narrow"/>
          <w:b w:val="0"/>
          <w:sz w:val="22"/>
          <w:szCs w:val="22"/>
          <w:lang w:val="sk-SK"/>
        </w:rPr>
        <w:t>09610575339</w:t>
      </w:r>
    </w:p>
    <w:p w14:paraId="017D112E" w14:textId="3AE6BB35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C6A03">
        <w:rPr>
          <w:rFonts w:ascii="Arial Narrow" w:hAnsi="Arial Narrow"/>
          <w:b w:val="0"/>
          <w:sz w:val="22"/>
          <w:szCs w:val="22"/>
          <w:lang w:val="sk-SK"/>
        </w:rPr>
        <w:t>janette.zajacova@minv.sk</w:t>
      </w:r>
    </w:p>
    <w:p w14:paraId="2094E452" w14:textId="77777777" w:rsidR="000831F1" w:rsidRDefault="003348C6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22AFF">
        <w:rPr>
          <w:rFonts w:ascii="Arial Narrow" w:hAnsi="Arial Narrow"/>
          <w:sz w:val="22"/>
          <w:szCs w:val="22"/>
          <w:lang w:val="sk-SK"/>
        </w:rPr>
        <w:t xml:space="preserve">Odkaz na webové sídlo kde je výzva dostupná:  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>(uvedie sa link na zverejnenie z nastavenia JOSEPHINE)</w:t>
      </w: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4C917B6C" w:rsidR="00DD4EEC" w:rsidRPr="00B359CE" w:rsidRDefault="00DC6A03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Štandardy omamných a psychotropných látok</w:t>
      </w:r>
    </w:p>
    <w:p w14:paraId="1322346F" w14:textId="7A5868C7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>tovar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21C4166E" w:rsidR="00DD4EEC" w:rsidRPr="00B359CE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396C3E">
        <w:rPr>
          <w:rFonts w:ascii="Arial Narrow" w:hAnsi="Arial Narrow"/>
          <w:b w:val="0"/>
          <w:smallCaps/>
          <w:sz w:val="22"/>
          <w:szCs w:val="22"/>
          <w:lang w:val="sk-SK"/>
        </w:rPr>
        <w:t>24324000-1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6ADF6F11" w:rsidR="00DD4EEC" w:rsidRPr="00B359CE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2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2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396C3E">
        <w:rPr>
          <w:rFonts w:ascii="Arial Narrow" w:hAnsi="Arial Narrow"/>
          <w:b w:val="0"/>
          <w:sz w:val="22"/>
          <w:szCs w:val="22"/>
          <w:lang w:val="sk-SK"/>
        </w:rPr>
        <w:t>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67457D" w14:textId="77777777" w:rsidR="00D94660" w:rsidRPr="00B359CE" w:rsidRDefault="00DD4EE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359FC0A1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>Ministerstvo vnútra Slovenskej republiky</w:t>
      </w:r>
      <w:r w:rsidR="00396C3E">
        <w:rPr>
          <w:rFonts w:ascii="Arial Narrow" w:hAnsi="Arial Narrow"/>
          <w:b w:val="0"/>
          <w:iCs/>
          <w:sz w:val="22"/>
          <w:szCs w:val="22"/>
          <w:lang w:val="sk-SK" w:bidi="en-US"/>
        </w:rPr>
        <w:t>, Kriminalistický a expertízny ústav P PZ, Sklabinská 1, Bratislava</w:t>
      </w:r>
      <w:r w:rsidR="00696DD8">
        <w:rPr>
          <w:rFonts w:ascii="Arial Narrow" w:hAnsi="Arial Narrow"/>
          <w:b w:val="0"/>
          <w:iCs/>
          <w:sz w:val="22"/>
          <w:szCs w:val="22"/>
          <w:lang w:val="sk-SK" w:bidi="en-US"/>
        </w:rPr>
        <w:t>.</w:t>
      </w:r>
    </w:p>
    <w:p w14:paraId="1637C577" w14:textId="40377A46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  <w:r w:rsidR="00696DD8" w:rsidRPr="00696DD8">
        <w:rPr>
          <w:rFonts w:ascii="Arial Narrow" w:hAnsi="Arial Narrow"/>
          <w:b w:val="0"/>
          <w:sz w:val="22"/>
          <w:szCs w:val="22"/>
          <w:lang w:val="sk-SK"/>
        </w:rPr>
        <w:t>najneskôr</w:t>
      </w:r>
      <w:r w:rsidR="00696DD8">
        <w:rPr>
          <w:rFonts w:ascii="Arial Narrow" w:hAnsi="Arial Narrow"/>
          <w:sz w:val="22"/>
          <w:szCs w:val="22"/>
          <w:lang w:val="sk-SK"/>
        </w:rPr>
        <w:t xml:space="preserve"> </w:t>
      </w:r>
      <w:r w:rsidR="00696DD8" w:rsidRPr="00696DD8">
        <w:rPr>
          <w:rFonts w:ascii="Arial Narrow" w:hAnsi="Arial Narrow"/>
          <w:b w:val="0"/>
          <w:sz w:val="22"/>
          <w:szCs w:val="22"/>
          <w:lang w:val="sk-SK"/>
        </w:rPr>
        <w:t>31. 7. 2025</w:t>
      </w: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416479D9" w14:textId="77777777" w:rsidR="00696DD8" w:rsidRDefault="00696DD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0"/>
        <w:gridCol w:w="992"/>
      </w:tblGrid>
      <w:tr w:rsidR="00696DD8" w:rsidRPr="00AF3831" w14:paraId="55AA5103" w14:textId="77777777" w:rsidTr="00F81245">
        <w:trPr>
          <w:trHeight w:val="300"/>
        </w:trPr>
        <w:tc>
          <w:tcPr>
            <w:tcW w:w="807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000000" w:fill="FFFF00"/>
            <w:vAlign w:val="center"/>
            <w:hideMark/>
          </w:tcPr>
          <w:p w14:paraId="26F4E5EA" w14:textId="77777777" w:rsidR="00696DD8" w:rsidRPr="00696DD8" w:rsidRDefault="00696DD8" w:rsidP="00F81245">
            <w:pPr>
              <w:rPr>
                <w:rFonts w:ascii="Arial Narrow" w:hAnsi="Arial Narrow"/>
                <w:b w:val="0"/>
                <w:bCs/>
                <w:color w:val="000000"/>
              </w:rPr>
            </w:pPr>
            <w:r w:rsidRPr="00696DD8">
              <w:rPr>
                <w:rFonts w:ascii="Arial Narrow" w:hAnsi="Arial Narrow"/>
                <w:b w:val="0"/>
                <w:bCs/>
                <w:color w:val="000000"/>
              </w:rPr>
              <w:t>Názov certifikovaného referenčného materiálu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5152E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bCs/>
                <w:color w:val="000000"/>
              </w:rPr>
            </w:pPr>
            <w:r w:rsidRPr="00696DD8">
              <w:rPr>
                <w:rFonts w:ascii="Arial Narrow" w:hAnsi="Arial Narrow"/>
                <w:b w:val="0"/>
                <w:bCs/>
                <w:color w:val="000000"/>
              </w:rPr>
              <w:t>Počet kusov</w:t>
            </w:r>
          </w:p>
        </w:tc>
      </w:tr>
      <w:tr w:rsidR="00696DD8" w:rsidRPr="00AF3831" w14:paraId="7A897A04" w14:textId="77777777" w:rsidTr="00F81245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2CEFD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 - metamfetamín hydrochlorid, 50 mg, čistota &gt; 98,5 %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B6CCA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70114B7B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AED3C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metamfetamín-D5-hydrochlorid, 10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BBAFD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7AEDDC70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9AA23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 - amfetamín hydrochlorid, 50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0F5AD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68794A13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EB8CA" w14:textId="77777777" w:rsidR="00696DD8" w:rsidRPr="00696DD8" w:rsidRDefault="00696DD8" w:rsidP="00F81245">
            <w:pPr>
              <w:ind w:right="2250"/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amfetamín-D5-hydrochlorid, 10 mg, prášok,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73D9DA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11CF4A97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B987E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D,L-3,4-metyléndioxymetamfetamín hydrochlorid, 50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B5C83B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033D423B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D3D73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D,L-3,4-metyléndioxymetamfetamín-D5-hydrochlorid, 10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DB4043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4F1698CF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7685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D,L-3,4-metyléndioxyamfetamín hydrochlorid, 50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9C927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5E1C1CEC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12D85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D,L-3,4-metyléndioxyamfetamín-D5-hydrochlorid, 10 mg, prášok,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6C0582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441C0945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E7B9F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delta-9-tetrahydrokanabinol, 1 mg/1 ml v etanole, čistota &gt; 96,0 %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98690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69BE4D44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C766F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delta-9-tetrahydrokanabinol-D3, 1 mg/1 ml v etanole, čistota &gt; 96,0 %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8360C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73B84D90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7118E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kyselina D,L-11-nor-delta-9-tetrahydrokanabinol karboxylová, 1 mg/1 ml v metanole, čistota &gt; 96,0 %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5944FC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28C41011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7B3D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kyselina D,L-11-nor-delta-9-tetrahydrokanabinol-D3 karboxylová, 1 mg/1 ml v metanole, čistota &gt; 96,0 %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87241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1</w:t>
            </w:r>
          </w:p>
        </w:tc>
      </w:tr>
      <w:tr w:rsidR="00696DD8" w:rsidRPr="00AF3831" w14:paraId="3F3CAD91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2323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D,L-11-hydroxy-delta-9-tetrahydrokanabinol, 1 mg/1 ml v metanole, čistota &gt; 96,0 %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B5A9B7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67BC0A48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B7696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D,L-11-hydroxy-delta-9-tetrahydrokanabinol-D3, 1 mg/1 ml v metanole, čistota &gt; 96,0 %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102FB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1</w:t>
            </w:r>
          </w:p>
        </w:tc>
      </w:tr>
      <w:tr w:rsidR="00696DD8" w:rsidRPr="00AF3831" w14:paraId="69FAE7E3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367B7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lastRenderedPageBreak/>
              <w:t>morfín hydrochlorid, 50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E9F1D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643EA1FA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ECCD3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morfín-</w:t>
            </w:r>
            <w:r w:rsidRPr="00696DD8">
              <w:rPr>
                <w:rFonts w:ascii="Arial Narrow" w:hAnsi="Arial Narrow"/>
                <w:b w:val="0"/>
                <w:color w:val="000000"/>
              </w:rPr>
              <w:t>D3</w:t>
            </w:r>
            <w:r w:rsidRPr="00696DD8">
              <w:rPr>
                <w:rFonts w:ascii="Arial Narrow" w:hAnsi="Arial Narrow"/>
                <w:b w:val="0"/>
              </w:rPr>
              <w:t>-hydrochlorid, 10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24A0EE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5CFBE2D1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8D3A7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kokaín hydrochlorid, 50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C93B9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2BED5EFA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9581F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kokaín-D3-hydrochlorid, 10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F68231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  <w:tr w:rsidR="00696DD8" w:rsidRPr="00AF3831" w14:paraId="68B38389" w14:textId="77777777" w:rsidTr="00F81245">
        <w:trPr>
          <w:trHeight w:val="288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17A1B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benzoylekgonín, 50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963D1E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2</w:t>
            </w:r>
          </w:p>
        </w:tc>
      </w:tr>
      <w:tr w:rsidR="00696DD8" w:rsidRPr="00AF3831" w14:paraId="38F8F129" w14:textId="77777777" w:rsidTr="00F81245">
        <w:trPr>
          <w:trHeight w:val="300"/>
        </w:trPr>
        <w:tc>
          <w:tcPr>
            <w:tcW w:w="80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9FE3A" w14:textId="77777777" w:rsidR="00696DD8" w:rsidRPr="00696DD8" w:rsidRDefault="00696DD8" w:rsidP="00F81245">
            <w:pPr>
              <w:rPr>
                <w:rFonts w:ascii="Arial Narrow" w:hAnsi="Arial Narrow"/>
                <w:b w:val="0"/>
              </w:rPr>
            </w:pPr>
            <w:r w:rsidRPr="00696DD8">
              <w:rPr>
                <w:rFonts w:ascii="Arial Narrow" w:hAnsi="Arial Narrow"/>
                <w:b w:val="0"/>
              </w:rPr>
              <w:t>benzoylekgonín-D8, 10 mg, čistota &gt; 98,5 %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2AE0A4" w14:textId="77777777" w:rsidR="00696DD8" w:rsidRPr="00696DD8" w:rsidRDefault="00696DD8" w:rsidP="00F81245">
            <w:pPr>
              <w:jc w:val="center"/>
              <w:rPr>
                <w:rFonts w:ascii="Arial Narrow" w:hAnsi="Arial Narrow"/>
                <w:b w:val="0"/>
                <w:color w:val="000000"/>
              </w:rPr>
            </w:pPr>
            <w:r w:rsidRPr="00696DD8">
              <w:rPr>
                <w:rFonts w:ascii="Arial Narrow" w:hAnsi="Arial Narrow"/>
                <w:b w:val="0"/>
                <w:color w:val="000000"/>
              </w:rPr>
              <w:t>5</w:t>
            </w:r>
          </w:p>
        </w:tc>
      </w:tr>
    </w:tbl>
    <w:p w14:paraId="153F6792" w14:textId="5A21CC57" w:rsidR="00430F3C" w:rsidRDefault="00696DD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 cene predmetu zákazky sú zahrnuté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všetky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(doprava, balenie a iné....) 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na predmet zákazky</w:t>
      </w:r>
      <w:r>
        <w:rPr>
          <w:rFonts w:ascii="Arial Narrow" w:hAnsi="Arial Narrow"/>
          <w:b w:val="0"/>
          <w:sz w:val="22"/>
          <w:szCs w:val="22"/>
          <w:lang w:val="sk-SK"/>
        </w:rPr>
        <w:t>. C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>ena musí byť uvedená ako cena bez DPH, sadzba DPH, výška DPH a cena s DPH. Ak uchádzač nie je platiteľom DPH, na túto skutočnosť v ponuke upozorní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; 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>ak je opis predmetu zákazky rozsiahlejší, môže byť prílohou k výzve)</w:t>
      </w:r>
      <w:r w:rsidR="00430F3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3C74FCBE" w14:textId="11034A37" w:rsidR="00430F3C" w:rsidRPr="00B359CE" w:rsidRDefault="00430F3C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76E18ACA" w:rsidR="004935D3" w:rsidRDefault="00696DD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Množstvo je uvedené v opise predmetu zákazky.</w:t>
      </w:r>
    </w:p>
    <w:p w14:paraId="185C547E" w14:textId="77777777" w:rsidR="00DD1CBC" w:rsidRDefault="00DD1CB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7269DEB6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  <w:r w:rsidR="00696DD8">
        <w:rPr>
          <w:rFonts w:ascii="Arial Narrow" w:hAnsi="Arial Narrow"/>
          <w:b w:val="0"/>
          <w:szCs w:val="22"/>
        </w:rPr>
        <w:t>34 354,00 bez DPH</w:t>
      </w:r>
    </w:p>
    <w:p w14:paraId="291858C0" w14:textId="2CB685A0" w:rsidR="00DD1CBC" w:rsidRDefault="00DD1CBC">
      <w:pPr>
        <w:rPr>
          <w:rFonts w:ascii="Arial Narrow" w:hAnsi="Arial Narrow"/>
          <w:smallCaps/>
          <w:sz w:val="22"/>
          <w:szCs w:val="22"/>
          <w:lang w:val="sk-SK"/>
        </w:rPr>
      </w:pP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0B4A0493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(eID). Technické požiadavky na systém a informácie o registrácii a o používaní systému JOSEPHINE sú uvedené na webovom sídle systému https://josephine.proebiz.com v položke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087B1FA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</w:t>
      </w:r>
      <w:r w:rsidR="00696DD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71F5B88" w14:textId="3E744B5B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696DD8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761C2A1B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96DD8">
        <w:rPr>
          <w:rFonts w:ascii="Arial Narrow" w:hAnsi="Arial Narrow"/>
          <w:b w:val="0"/>
          <w:sz w:val="22"/>
          <w:szCs w:val="22"/>
          <w:lang w:val="sk-SK"/>
        </w:rPr>
        <w:t>05. 05. 2025</w:t>
      </w:r>
    </w:p>
    <w:p w14:paraId="034E07EA" w14:textId="77FBD82F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96DD8">
        <w:rPr>
          <w:rFonts w:ascii="Arial Narrow" w:hAnsi="Arial Narrow"/>
          <w:b w:val="0"/>
          <w:sz w:val="22"/>
          <w:szCs w:val="22"/>
          <w:lang w:val="sk-SK"/>
        </w:rPr>
        <w:t>10.00 h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1FC5C3E1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96DD8">
        <w:rPr>
          <w:rFonts w:ascii="Arial Narrow" w:hAnsi="Arial Narrow"/>
          <w:b w:val="0"/>
          <w:sz w:val="22"/>
          <w:szCs w:val="22"/>
          <w:lang w:val="sk-SK"/>
        </w:rPr>
        <w:t>05. 05. 2025</w:t>
      </w:r>
    </w:p>
    <w:p w14:paraId="64CB7642" w14:textId="1C688443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96DD8">
        <w:rPr>
          <w:rFonts w:ascii="Arial Narrow" w:hAnsi="Arial Narrow"/>
          <w:b w:val="0"/>
          <w:sz w:val="22"/>
          <w:szCs w:val="22"/>
          <w:lang w:val="sk-SK"/>
        </w:rPr>
        <w:t>10.15 h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38A73E08" w:rsidR="000831F1" w:rsidRPr="00B359CE" w:rsidRDefault="000831F1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formou predloženia ponuky do predmetnej zákazky v elektronickej forme v systéme JOSEPHINE umiestnenom na webovej adrese </w:t>
      </w:r>
      <w:hyperlink r:id="rId9" w:history="1">
        <w:r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) 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722112C" w14:textId="77777777" w:rsidR="007260E8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0B8E6EC" w14:textId="77777777" w:rsidR="00430F3C" w:rsidRPr="00DD1CBC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r w:rsidRPr="00DD1CBC">
        <w:rPr>
          <w:rFonts w:ascii="Arial Narrow" w:eastAsia="Arial" w:hAnsi="Arial Narrow"/>
          <w:sz w:val="22"/>
          <w:szCs w:val="22"/>
        </w:rPr>
        <w:t>Uchádzač musí spĺňať nasledovné podmienky účasti týkajúce sa osobného postavenia: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 § 32 ods. 1 písm. e) zákona, že je oprávnený dodávať tovar, uskutočňovať stavebné práce alebo poskytovať službu. Uvedenú podmienku účasti preukáže uchádzač v súlade s § 32 ods. 2 písm. e) zákona doloženým dokladom o oprávnení dodávať tovar, uskutočňovať stavebné práce alebo poskytovať službu, ktorý zodpovedá predmetu zákazky.</w:t>
      </w:r>
    </w:p>
    <w:p w14:paraId="43721A0D" w14:textId="77777777" w:rsidR="00430F3C" w:rsidRPr="00430F3C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491E1715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 § 32 ods. 1 písm. f) zákona, že nemá uložený zákaz účasti vo verejnom obstarávaní potvrdený konečným rozhodnutím v Slovenskej republike a v štáte sídla, miesta podnikania alebo obvyklého pobytu. Uvedenú podmienku účasti preukáže uchádzač v súlade s § 32 ods. 2 písm. f) zákona doloženým čestným vyhlásením.</w:t>
      </w:r>
    </w:p>
    <w:p w14:paraId="01CAD74F" w14:textId="77777777" w:rsidR="00696DD8" w:rsidRPr="00696DD8" w:rsidRDefault="00696DD8" w:rsidP="00696DD8">
      <w:pPr>
        <w:pStyle w:val="Odsekzoznamu"/>
        <w:rPr>
          <w:rFonts w:ascii="Arial Narrow" w:eastAsia="Arial" w:hAnsi="Arial Narrow"/>
          <w:b w:val="0"/>
          <w:bCs/>
          <w:sz w:val="22"/>
          <w:szCs w:val="22"/>
        </w:rPr>
      </w:pPr>
    </w:p>
    <w:p w14:paraId="47721FF0" w14:textId="185BD674" w:rsidR="000F5F3B" w:rsidRPr="000F5F3B" w:rsidRDefault="000F5F3B" w:rsidP="000F5F3B">
      <w:pPr>
        <w:pStyle w:val="Zarkazkladnhotextu2"/>
        <w:numPr>
          <w:ilvl w:val="0"/>
          <w:numId w:val="17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0F5F3B">
        <w:rPr>
          <w:rFonts w:ascii="Arial Narrow" w:hAnsi="Arial Narrow"/>
          <w:b w:val="0"/>
          <w:sz w:val="22"/>
          <w:szCs w:val="22"/>
        </w:rPr>
        <w:t>V</w:t>
      </w:r>
      <w:r w:rsidRPr="000F5F3B">
        <w:rPr>
          <w:rFonts w:ascii="Arial Narrow" w:hAnsi="Arial Narrow"/>
          <w:b w:val="0"/>
          <w:sz w:val="22"/>
          <w:szCs w:val="22"/>
        </w:rPr>
        <w:t> zmysle § 14 zákona č. 18/2018 Z. z. o ochrane osobných údajov a o zmene a doplnení niektorých zákonov jeho súhlas so spracovaním osobných údajov (tlačivo na súhlas je v prílohe)</w:t>
      </w:r>
      <w:r w:rsidRPr="000F5F3B">
        <w:rPr>
          <w:rFonts w:ascii="Arial Narrow" w:hAnsi="Arial Narrow"/>
          <w:b w:val="0"/>
          <w:sz w:val="22"/>
          <w:szCs w:val="22"/>
        </w:rPr>
        <w:t>.</w:t>
      </w:r>
    </w:p>
    <w:p w14:paraId="226856BA" w14:textId="77777777" w:rsidR="00696DD8" w:rsidRPr="00430F3C" w:rsidRDefault="00696DD8" w:rsidP="000F5F3B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A0DAC4C" w14:textId="1A7CB9AB" w:rsidR="000B1601" w:rsidRDefault="00517180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Kritériom na vyhodnotenie je </w:t>
      </w:r>
      <w:r w:rsidR="000B1601" w:rsidRPr="00B359CE"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  <w:r>
        <w:rPr>
          <w:rFonts w:ascii="Arial Narrow" w:hAnsi="Arial Narrow"/>
          <w:b w:val="0"/>
          <w:sz w:val="22"/>
          <w:szCs w:val="22"/>
          <w:lang w:val="sk-SK" w:bidi="en-US"/>
        </w:rPr>
        <w:t xml:space="preserve">. 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>
        <w:rPr>
          <w:rFonts w:ascii="Arial Narrow" w:hAnsi="Arial Narrow"/>
          <w:b w:val="0"/>
          <w:sz w:val="22"/>
          <w:szCs w:val="22"/>
          <w:lang w:val="sk-SK"/>
        </w:rPr>
        <w:t>.</w:t>
      </w:r>
      <w:r w:rsidR="000B1601" w:rsidRPr="00B359CE">
        <w:rPr>
          <w:rFonts w:ascii="Arial Narrow" w:hAnsi="Arial Narrow"/>
          <w:sz w:val="22"/>
          <w:szCs w:val="22"/>
          <w:lang w:val="sk-SK" w:bidi="en-US"/>
        </w:rPr>
        <w:t xml:space="preserve"> </w:t>
      </w:r>
    </w:p>
    <w:p w14:paraId="00F98A13" w14:textId="0032AD42" w:rsidR="00430F3C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719BEB2C" w14:textId="2457622E" w:rsidR="00430F3C" w:rsidRPr="00517180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iCs/>
          <w:sz w:val="22"/>
          <w:szCs w:val="22"/>
          <w:lang w:val="sk-SK"/>
        </w:rPr>
      </w:pPr>
      <w:r w:rsidRPr="00517180">
        <w:rPr>
          <w:rFonts w:ascii="Arial Narrow" w:hAnsi="Arial Narrow"/>
          <w:iCs/>
          <w:sz w:val="22"/>
          <w:szCs w:val="22"/>
          <w:lang w:val="sk-SK"/>
        </w:rPr>
        <w:t>Postup hodnotenia ponúk:</w:t>
      </w:r>
    </w:p>
    <w:p w14:paraId="7B45C54B" w14:textId="5B1E3AE4" w:rsidR="00430F3C" w:rsidRPr="00517180" w:rsidRDefault="00430F3C" w:rsidP="00430F3C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iCs/>
          <w:sz w:val="22"/>
          <w:szCs w:val="22"/>
          <w:lang w:val="sk-SK"/>
        </w:rPr>
      </w:pPr>
      <w:r w:rsidRPr="00517180">
        <w:rPr>
          <w:rFonts w:ascii="Arial Narrow" w:hAnsi="Arial Narrow"/>
          <w:b w:val="0"/>
          <w:iCs/>
          <w:sz w:val="22"/>
          <w:szCs w:val="22"/>
          <w:lang w:val="sk-SK"/>
        </w:rPr>
        <w:t>Verejný obstarávateľ bude vyhodnocovať z hľadiska splnenia požiadaviek na predmet zákazky a splnenia podmienok účasti iba ponuku uchádzača s najlepším návrhom na plnenie kritérií. V prípade, ak uchádzač s najlepším návrhom na plnenie kritérií nepreukáže splnenie podmienok účasti alebo požiadaviek na predmet zákazky, verejný obstarávateľ pristúpi k hodnoteniu ponuky druhého uchádzača v poradí. Tento postup môže verejný obstarávateľ opakovať.</w:t>
      </w:r>
    </w:p>
    <w:p w14:paraId="1997A73E" w14:textId="3DFB320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29FDA1B0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objednávka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11B9635" w14:textId="4AE4FCC1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77777777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010DB0" w:rsidRPr="00B359CE">
        <w:rPr>
          <w:rFonts w:ascii="Arial Narrow" w:hAnsi="Arial Narrow"/>
          <w:b w:val="0"/>
          <w:iCs/>
          <w:sz w:val="22"/>
          <w:szCs w:val="22"/>
          <w:lang w:val="sk-SK"/>
        </w:rPr>
        <w:t>“)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. 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4A5D10" w14:textId="0F4544FD" w:rsidR="0093575C" w:rsidRPr="00517180" w:rsidRDefault="00517180" w:rsidP="00AE0C75">
      <w:pPr>
        <w:shd w:val="clear" w:color="auto" w:fill="FFFFFF"/>
        <w:jc w:val="both"/>
        <w:rPr>
          <w:rFonts w:ascii="Arial Narrow" w:hAnsi="Arial Narrow"/>
          <w:b w:val="0"/>
          <w:iCs/>
          <w:color w:val="000000"/>
          <w:sz w:val="22"/>
          <w:szCs w:val="22"/>
          <w:shd w:val="clear" w:color="auto" w:fill="FFFFFF"/>
          <w:lang w:val="sk-SK"/>
        </w:rPr>
      </w:pPr>
      <w:r w:rsidRPr="00517180">
        <w:rPr>
          <w:rFonts w:ascii="Arial Narrow" w:hAnsi="Arial Narrow"/>
          <w:b w:val="0"/>
          <w:iCs/>
          <w:color w:val="000000"/>
          <w:sz w:val="22"/>
          <w:szCs w:val="22"/>
          <w:shd w:val="clear" w:color="auto" w:fill="FFFFFF"/>
          <w:lang w:val="sk-SK"/>
        </w:rPr>
        <w:t xml:space="preserve">Nevyžaduje sa. </w:t>
      </w:r>
    </w:p>
    <w:p w14:paraId="2262B6E0" w14:textId="144321E3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3A9EC111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517180">
        <w:rPr>
          <w:rFonts w:ascii="Arial Narrow" w:hAnsi="Arial Narrow"/>
          <w:bCs/>
          <w:sz w:val="22"/>
          <w:szCs w:val="22"/>
          <w:lang w:val="sk-SK" w:eastAsia="sk-SK"/>
        </w:rPr>
        <w:t xml:space="preserve"> </w:t>
      </w:r>
      <w:r w:rsidR="00517180">
        <w:rPr>
          <w:rFonts w:ascii="Arial Narrow" w:hAnsi="Arial Narrow"/>
          <w:b w:val="0"/>
          <w:bCs/>
          <w:sz w:val="22"/>
          <w:szCs w:val="22"/>
          <w:lang w:val="sk-SK" w:eastAsia="sk-SK"/>
        </w:rPr>
        <w:t>16. 04. 2025</w:t>
      </w:r>
    </w:p>
    <w:p w14:paraId="77618E2D" w14:textId="712978D5" w:rsidR="00517180" w:rsidRDefault="00517180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</w:p>
    <w:p w14:paraId="5887E5FC" w14:textId="5370648A" w:rsidR="00517180" w:rsidRPr="00517180" w:rsidRDefault="00517180" w:rsidP="0051718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</w:rPr>
      </w:pPr>
      <w:r w:rsidRPr="00517180"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 </w:t>
      </w:r>
      <w:r>
        <w:rPr>
          <w:rFonts w:ascii="Arial Narrow" w:hAnsi="Arial Narrow"/>
          <w:b w:val="0"/>
          <w:sz w:val="22"/>
          <w:szCs w:val="22"/>
        </w:rPr>
        <w:t xml:space="preserve">                </w:t>
      </w:r>
      <w:r w:rsidRPr="00517180">
        <w:rPr>
          <w:rFonts w:ascii="Arial Narrow" w:hAnsi="Arial Narrow"/>
          <w:b w:val="0"/>
          <w:sz w:val="22"/>
          <w:szCs w:val="22"/>
        </w:rPr>
        <w:t xml:space="preserve"> .............................................................</w:t>
      </w:r>
    </w:p>
    <w:p w14:paraId="708EE550" w14:textId="13BFEDA0" w:rsidR="00517180" w:rsidRPr="00517180" w:rsidRDefault="00517180" w:rsidP="00517180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center"/>
        <w:rPr>
          <w:rFonts w:ascii="Arial Narrow" w:hAnsi="Arial Narrow"/>
          <w:b w:val="0"/>
          <w:sz w:val="22"/>
          <w:szCs w:val="22"/>
        </w:rPr>
      </w:pPr>
      <w:r w:rsidRPr="00517180"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    Ing. </w:t>
      </w:r>
      <w:r w:rsidRPr="00517180">
        <w:rPr>
          <w:rFonts w:ascii="Arial Narrow" w:hAnsi="Arial Narrow"/>
          <w:b w:val="0"/>
          <w:sz w:val="22"/>
          <w:szCs w:val="22"/>
        </w:rPr>
        <w:t>Marek Ištok</w:t>
      </w:r>
      <w:r w:rsidRPr="00517180">
        <w:rPr>
          <w:rFonts w:ascii="Arial Narrow" w:hAnsi="Arial Narrow"/>
          <w:b w:val="0"/>
          <w:sz w:val="22"/>
          <w:szCs w:val="22"/>
        </w:rPr>
        <w:t xml:space="preserve"> </w:t>
      </w:r>
    </w:p>
    <w:p w14:paraId="35001610" w14:textId="0A7CE1E8" w:rsidR="00517180" w:rsidRPr="00517180" w:rsidRDefault="00517180" w:rsidP="00517180">
      <w:pPr>
        <w:tabs>
          <w:tab w:val="right" w:leader="dot" w:pos="3960"/>
          <w:tab w:val="right" w:leader="dot" w:pos="7380"/>
          <w:tab w:val="right" w:leader="dot" w:pos="10080"/>
        </w:tabs>
        <w:jc w:val="center"/>
        <w:rPr>
          <w:rFonts w:ascii="Arial Narrow" w:hAnsi="Arial Narrow"/>
          <w:b w:val="0"/>
          <w:sz w:val="22"/>
          <w:szCs w:val="22"/>
        </w:rPr>
      </w:pPr>
      <w:r w:rsidRPr="00517180">
        <w:rPr>
          <w:rFonts w:ascii="Arial Narrow" w:hAnsi="Arial Narrow"/>
          <w:b w:val="0"/>
          <w:sz w:val="22"/>
          <w:szCs w:val="22"/>
        </w:rPr>
        <w:t xml:space="preserve">                                                                                         </w:t>
      </w:r>
      <w:r>
        <w:rPr>
          <w:rFonts w:ascii="Arial Narrow" w:hAnsi="Arial Narrow"/>
          <w:b w:val="0"/>
          <w:sz w:val="22"/>
          <w:szCs w:val="22"/>
        </w:rPr>
        <w:t xml:space="preserve">    </w:t>
      </w:r>
      <w:r w:rsidRPr="00517180">
        <w:rPr>
          <w:rFonts w:ascii="Arial Narrow" w:hAnsi="Arial Narrow"/>
          <w:b w:val="0"/>
          <w:sz w:val="22"/>
          <w:szCs w:val="22"/>
        </w:rPr>
        <w:t xml:space="preserve">riaditeľ odboru </w:t>
      </w:r>
      <w:r w:rsidRPr="00517180">
        <w:rPr>
          <w:rFonts w:ascii="Arial Narrow" w:hAnsi="Arial Narrow"/>
          <w:b w:val="0"/>
          <w:sz w:val="22"/>
          <w:szCs w:val="22"/>
        </w:rPr>
        <w:t>komodít</w:t>
      </w:r>
    </w:p>
    <w:p w14:paraId="2C161170" w14:textId="77777777" w:rsidR="00517180" w:rsidRDefault="00517180" w:rsidP="00517180">
      <w:pPr>
        <w:spacing w:after="200" w:line="276" w:lineRule="auto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</w:p>
    <w:p w14:paraId="5F0D84B4" w14:textId="77777777" w:rsidR="00517180" w:rsidRPr="00517180" w:rsidRDefault="00517180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bCs/>
          <w:sz w:val="22"/>
          <w:szCs w:val="22"/>
          <w:lang w:val="sk-SK" w:eastAsia="sk-SK"/>
        </w:rPr>
      </w:pP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A65B1" w14:textId="77777777" w:rsidR="00C41522" w:rsidRDefault="00C41522" w:rsidP="000F49C3">
      <w:r>
        <w:separator/>
      </w:r>
    </w:p>
  </w:endnote>
  <w:endnote w:type="continuationSeparator" w:id="0">
    <w:p w14:paraId="0030AC2D" w14:textId="77777777" w:rsidR="00C41522" w:rsidRDefault="00C41522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687D51FE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C41522" w:rsidRPr="00C41522">
          <w:rPr>
            <w:rFonts w:ascii="Arial Narrow" w:hAnsi="Arial Narrow"/>
            <w:b w:val="0"/>
            <w:noProof/>
            <w:lang w:val="sk-SK"/>
          </w:rPr>
          <w:t>1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CD6A6" w14:textId="77777777" w:rsidR="00C41522" w:rsidRDefault="00C41522" w:rsidP="000F49C3">
      <w:r>
        <w:separator/>
      </w:r>
    </w:p>
  </w:footnote>
  <w:footnote w:type="continuationSeparator" w:id="0">
    <w:p w14:paraId="6A2F5ABB" w14:textId="77777777" w:rsidR="00C41522" w:rsidRDefault="00C41522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3"/>
  </w:num>
  <w:num w:numId="5">
    <w:abstractNumId w:val="17"/>
  </w:num>
  <w:num w:numId="6">
    <w:abstractNumId w:val="11"/>
  </w:num>
  <w:num w:numId="7">
    <w:abstractNumId w:val="10"/>
  </w:num>
  <w:num w:numId="8">
    <w:abstractNumId w:val="1"/>
  </w:num>
  <w:num w:numId="9">
    <w:abstractNumId w:val="4"/>
  </w:num>
  <w:num w:numId="10">
    <w:abstractNumId w:val="15"/>
  </w:num>
  <w:num w:numId="11">
    <w:abstractNumId w:val="9"/>
  </w:num>
  <w:num w:numId="12">
    <w:abstractNumId w:val="0"/>
  </w:num>
  <w:num w:numId="13">
    <w:abstractNumId w:val="16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859"/>
    <w:rsid w:val="00010DB0"/>
    <w:rsid w:val="00012771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0F5F3B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4558"/>
    <w:rsid w:val="00251BA1"/>
    <w:rsid w:val="00262045"/>
    <w:rsid w:val="0028504B"/>
    <w:rsid w:val="0029230A"/>
    <w:rsid w:val="002938D9"/>
    <w:rsid w:val="00295379"/>
    <w:rsid w:val="002A28E2"/>
    <w:rsid w:val="002A45DE"/>
    <w:rsid w:val="002E3E81"/>
    <w:rsid w:val="002F4004"/>
    <w:rsid w:val="002F52F7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96C3E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180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7580A"/>
    <w:rsid w:val="005779D2"/>
    <w:rsid w:val="00582BB7"/>
    <w:rsid w:val="00584962"/>
    <w:rsid w:val="00586DE1"/>
    <w:rsid w:val="00597691"/>
    <w:rsid w:val="005A7E31"/>
    <w:rsid w:val="005D16FD"/>
    <w:rsid w:val="005D4F94"/>
    <w:rsid w:val="005E2069"/>
    <w:rsid w:val="005F62D9"/>
    <w:rsid w:val="00603CFF"/>
    <w:rsid w:val="00610771"/>
    <w:rsid w:val="006235C1"/>
    <w:rsid w:val="006245C5"/>
    <w:rsid w:val="0064203F"/>
    <w:rsid w:val="00643D07"/>
    <w:rsid w:val="00643E8C"/>
    <w:rsid w:val="00662B69"/>
    <w:rsid w:val="006663C7"/>
    <w:rsid w:val="0067378A"/>
    <w:rsid w:val="00696DD8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629B"/>
    <w:rsid w:val="00A27F82"/>
    <w:rsid w:val="00A570E5"/>
    <w:rsid w:val="00A6640B"/>
    <w:rsid w:val="00A74A4C"/>
    <w:rsid w:val="00A76789"/>
    <w:rsid w:val="00A81FAF"/>
    <w:rsid w:val="00A86EE6"/>
    <w:rsid w:val="00A94EF8"/>
    <w:rsid w:val="00AB385F"/>
    <w:rsid w:val="00AB6242"/>
    <w:rsid w:val="00AD66BA"/>
    <w:rsid w:val="00AE0C75"/>
    <w:rsid w:val="00AE0E58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1522"/>
    <w:rsid w:val="00C42053"/>
    <w:rsid w:val="00C47617"/>
    <w:rsid w:val="00C6661C"/>
    <w:rsid w:val="00C7764A"/>
    <w:rsid w:val="00C80A81"/>
    <w:rsid w:val="00C83312"/>
    <w:rsid w:val="00C93393"/>
    <w:rsid w:val="00CA2E56"/>
    <w:rsid w:val="00CA3DB5"/>
    <w:rsid w:val="00CA7842"/>
    <w:rsid w:val="00CB6DB6"/>
    <w:rsid w:val="00CF19A5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3123"/>
    <w:rsid w:val="00D706BF"/>
    <w:rsid w:val="00D877C3"/>
    <w:rsid w:val="00D94660"/>
    <w:rsid w:val="00DB094C"/>
    <w:rsid w:val="00DC6A03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9B11C-F5D7-433D-AAED-6A29549D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1197</Words>
  <Characters>6827</Characters>
  <Application>Microsoft Office Word</Application>
  <DocSecurity>0</DocSecurity>
  <Lines>56</Lines>
  <Paragraphs>16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Nadpisy</vt:lpstr>
      </vt:variant>
      <vt:variant>
        <vt:i4>10</vt:i4>
      </vt:variant>
      <vt:variant>
        <vt:lpstr>Title</vt:lpstr>
      </vt:variant>
      <vt:variant>
        <vt:i4>1</vt:i4>
      </vt:variant>
    </vt:vector>
  </HeadingPairs>
  <TitlesOfParts>
    <vt:vector size="12" baseType="lpstr">
      <vt:lpstr>VÝZVA</vt:lpstr>
      <vt:lpstr>        I. Názov, adresa a kontaktné miesto verejného obstarávateľa</vt:lpstr>
      <vt:lpstr>        II. Opis</vt:lpstr>
      <vt:lpstr>        III. predpokladaná hodnota zákazky: 34 354,00 bez DPH</vt:lpstr>
      <vt:lpstr>        IV. Informácie potrebné na vypracovanie ponuky, predloženie ponuky</vt:lpstr>
      <vt:lpstr>        </vt:lpstr>
      <vt:lpstr>        V. Podmienky účasti</vt:lpstr>
      <vt:lpstr>        VI. Kritériá vyhodnotenia ponúk a vyhodnotenie ponúk</vt:lpstr>
      <vt:lpstr>        VII.  Podmienky týkajúce sa zmluvy a plnenia zmluvy</vt:lpstr>
      <vt:lpstr>        </vt:lpstr>
      <vt:lpstr>        VIII: DOPLŇUJÚCE INFORMÁCIE:</vt:lpstr>
      <vt:lpstr>VÝZVA</vt:lpstr>
    </vt:vector>
  </TitlesOfParts>
  <Company>MVSR</Company>
  <LinksUpToDate>false</LinksUpToDate>
  <CharactersWithSpaces>8008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Janette Zajacová</cp:lastModifiedBy>
  <cp:revision>4</cp:revision>
  <cp:lastPrinted>2025-04-16T12:05:00Z</cp:lastPrinted>
  <dcterms:created xsi:type="dcterms:W3CDTF">2025-04-16T08:19:00Z</dcterms:created>
  <dcterms:modified xsi:type="dcterms:W3CDTF">2025-04-16T12:05:00Z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</Properties>
</file>